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A98A" w14:textId="77777777" w:rsidR="00153651" w:rsidRDefault="00153651" w:rsidP="00596102">
      <w:pPr>
        <w:keepNext/>
        <w:keepLines/>
        <w:pBdr>
          <w:top w:val="nil"/>
          <w:left w:val="nil"/>
          <w:bottom w:val="nil"/>
          <w:right w:val="nil"/>
          <w:between w:val="nil"/>
        </w:pBdr>
        <w:tabs>
          <w:tab w:val="left" w:pos="284"/>
        </w:tabs>
        <w:spacing w:line="360" w:lineRule="auto"/>
        <w:jc w:val="both"/>
        <w:rPr>
          <w:rFonts w:ascii="Century Gothic" w:eastAsia="Calibri" w:hAnsi="Century Gothic" w:cs="Calibri"/>
          <w:b/>
          <w:bCs/>
          <w:color w:val="000000"/>
          <w:sz w:val="24"/>
          <w:szCs w:val="24"/>
        </w:rPr>
      </w:pPr>
    </w:p>
    <w:p w14:paraId="18E96321" w14:textId="77971B27" w:rsidR="00596102" w:rsidRPr="00596102" w:rsidRDefault="009372CA" w:rsidP="00596102">
      <w:pPr>
        <w:keepNext/>
        <w:keepLines/>
        <w:pBdr>
          <w:top w:val="nil"/>
          <w:left w:val="nil"/>
          <w:bottom w:val="nil"/>
          <w:right w:val="nil"/>
          <w:between w:val="nil"/>
        </w:pBdr>
        <w:tabs>
          <w:tab w:val="left" w:pos="284"/>
        </w:tabs>
        <w:spacing w:line="360" w:lineRule="auto"/>
        <w:jc w:val="both"/>
        <w:rPr>
          <w:rFonts w:ascii="Century Gothic" w:eastAsia="Calibri" w:hAnsi="Century Gothic" w:cs="Calibri"/>
          <w:b/>
          <w:bCs/>
          <w:color w:val="000000"/>
          <w:sz w:val="24"/>
          <w:szCs w:val="24"/>
        </w:rPr>
      </w:pPr>
      <w:r w:rsidRPr="00596102">
        <w:rPr>
          <w:rFonts w:ascii="Century Gothic" w:eastAsia="Calibri" w:hAnsi="Century Gothic" w:cs="Calibri"/>
          <w:b/>
          <w:bCs/>
          <w:color w:val="000000"/>
          <w:sz w:val="24"/>
          <w:szCs w:val="24"/>
        </w:rPr>
        <w:t>PROCESSO ADMINISTRATIVO Nº 6/2023</w:t>
      </w:r>
    </w:p>
    <w:p w14:paraId="516F255F" w14:textId="77777777" w:rsidR="00596102" w:rsidRPr="009372CA" w:rsidRDefault="00596102" w:rsidP="0064328D">
      <w:pPr>
        <w:keepNext/>
        <w:keepLines/>
        <w:pBdr>
          <w:top w:val="nil"/>
          <w:left w:val="nil"/>
          <w:bottom w:val="nil"/>
          <w:right w:val="nil"/>
          <w:between w:val="nil"/>
        </w:pBdr>
        <w:tabs>
          <w:tab w:val="left" w:pos="284"/>
        </w:tabs>
        <w:spacing w:line="360" w:lineRule="auto"/>
        <w:jc w:val="center"/>
        <w:rPr>
          <w:rFonts w:ascii="Century Gothic" w:eastAsia="Calibri" w:hAnsi="Century Gothic" w:cs="Calibri"/>
          <w:b/>
          <w:bCs/>
          <w:color w:val="000000"/>
          <w:sz w:val="28"/>
          <w:szCs w:val="28"/>
        </w:rPr>
      </w:pPr>
    </w:p>
    <w:p w14:paraId="6BF89F60" w14:textId="49C2CE3F" w:rsidR="0064328D" w:rsidRPr="009372CA" w:rsidRDefault="0064328D" w:rsidP="0064328D">
      <w:pPr>
        <w:keepNext/>
        <w:keepLines/>
        <w:pBdr>
          <w:top w:val="nil"/>
          <w:left w:val="nil"/>
          <w:bottom w:val="nil"/>
          <w:right w:val="nil"/>
          <w:between w:val="nil"/>
        </w:pBdr>
        <w:tabs>
          <w:tab w:val="left" w:pos="284"/>
        </w:tabs>
        <w:spacing w:line="360" w:lineRule="auto"/>
        <w:jc w:val="center"/>
        <w:rPr>
          <w:rFonts w:ascii="Century Gothic" w:eastAsia="Calibri" w:hAnsi="Century Gothic" w:cs="Calibri"/>
          <w:b/>
          <w:bCs/>
          <w:color w:val="000000"/>
          <w:sz w:val="28"/>
          <w:szCs w:val="28"/>
        </w:rPr>
      </w:pPr>
      <w:r w:rsidRPr="009372CA">
        <w:rPr>
          <w:rFonts w:ascii="Century Gothic" w:eastAsia="Calibri" w:hAnsi="Century Gothic" w:cs="Calibri"/>
          <w:b/>
          <w:bCs/>
          <w:color w:val="000000"/>
          <w:sz w:val="28"/>
          <w:szCs w:val="28"/>
        </w:rPr>
        <w:t>TERMO DE REFERÊNCIA</w:t>
      </w:r>
    </w:p>
    <w:p w14:paraId="1C03109E" w14:textId="77777777" w:rsidR="00596102" w:rsidRDefault="00596102" w:rsidP="0064328D">
      <w:pPr>
        <w:keepNext/>
        <w:keepLines/>
        <w:pBdr>
          <w:top w:val="nil"/>
          <w:left w:val="nil"/>
          <w:bottom w:val="nil"/>
          <w:right w:val="nil"/>
          <w:between w:val="nil"/>
        </w:pBdr>
        <w:tabs>
          <w:tab w:val="left" w:pos="284"/>
        </w:tabs>
        <w:spacing w:line="360" w:lineRule="auto"/>
        <w:jc w:val="both"/>
        <w:rPr>
          <w:rFonts w:ascii="Century Gothic" w:eastAsia="Calibri" w:hAnsi="Century Gothic" w:cs="Calibri"/>
          <w:color w:val="000000"/>
          <w:sz w:val="24"/>
          <w:szCs w:val="24"/>
        </w:rPr>
      </w:pPr>
    </w:p>
    <w:p w14:paraId="6CF1A3C4" w14:textId="358FE2B2" w:rsidR="00051B60" w:rsidRPr="00AE0CC8" w:rsidRDefault="00051B60" w:rsidP="00051B60">
      <w:pPr>
        <w:keepNext/>
        <w:keepLines/>
        <w:numPr>
          <w:ilvl w:val="0"/>
          <w:numId w:val="1"/>
        </w:numPr>
        <w:pBdr>
          <w:top w:val="nil"/>
          <w:left w:val="nil"/>
          <w:bottom w:val="nil"/>
          <w:right w:val="nil"/>
          <w:between w:val="nil"/>
        </w:pBdr>
        <w:shd w:val="clear" w:color="auto" w:fill="BFBFBF"/>
        <w:tabs>
          <w:tab w:val="left" w:pos="284"/>
        </w:tabs>
        <w:spacing w:line="360" w:lineRule="auto"/>
        <w:jc w:val="both"/>
        <w:rPr>
          <w:rFonts w:ascii="Century Gothic" w:eastAsia="Calibri" w:hAnsi="Century Gothic" w:cs="Calibri"/>
          <w:color w:val="000000"/>
          <w:sz w:val="24"/>
          <w:szCs w:val="24"/>
        </w:rPr>
      </w:pPr>
      <w:r w:rsidRPr="00AE0CC8">
        <w:rPr>
          <w:rFonts w:ascii="Century Gothic" w:eastAsia="Calibri" w:hAnsi="Century Gothic" w:cs="Calibri"/>
          <w:b/>
          <w:color w:val="000000"/>
          <w:sz w:val="24"/>
          <w:szCs w:val="24"/>
        </w:rPr>
        <w:t>DEFINIÇÃO DO OBJETO E CONDIÇÕES GERAIS DA CONTRATAÇÃO:</w:t>
      </w:r>
    </w:p>
    <w:p w14:paraId="633DBF61" w14:textId="3AA58887" w:rsidR="0003022B" w:rsidRDefault="03864034" w:rsidP="00051B60">
      <w:pPr>
        <w:pStyle w:val="PargrafodaLista"/>
        <w:keepNext/>
        <w:keepLines/>
        <w:numPr>
          <w:ilvl w:val="1"/>
          <w:numId w:val="1"/>
        </w:numPr>
        <w:pBdr>
          <w:top w:val="nil"/>
          <w:left w:val="nil"/>
          <w:bottom w:val="nil"/>
          <w:right w:val="nil"/>
          <w:between w:val="nil"/>
        </w:pBdr>
        <w:spacing w:line="360" w:lineRule="auto"/>
        <w:ind w:left="0" w:firstLine="0"/>
        <w:jc w:val="both"/>
        <w:rPr>
          <w:rFonts w:ascii="Century Gothic" w:eastAsia="Calibri" w:hAnsi="Century Gothic" w:cs="Calibri"/>
          <w:sz w:val="24"/>
          <w:szCs w:val="24"/>
        </w:rPr>
      </w:pPr>
      <w:r w:rsidRPr="03864034">
        <w:rPr>
          <w:rFonts w:ascii="Century Gothic" w:eastAsia="Calibri" w:hAnsi="Century Gothic" w:cs="Calibri"/>
          <w:sz w:val="24"/>
          <w:szCs w:val="24"/>
        </w:rPr>
        <w:t>Contratação de pessoa jurídica especializada para elaboração de projetos de engenharia para reforma e ampliação da Câmara Municipal, bem como para fiscalização da execução de tais projetos</w:t>
      </w:r>
      <w:r w:rsidRPr="03864034">
        <w:rPr>
          <w:rFonts w:ascii="Century Gothic" w:eastAsia="Calibri" w:hAnsi="Century Gothic" w:cs="Calibri"/>
          <w:color w:val="000000" w:themeColor="text1"/>
          <w:sz w:val="24"/>
          <w:szCs w:val="24"/>
        </w:rPr>
        <w:t xml:space="preserve">, </w:t>
      </w:r>
      <w:r w:rsidRPr="03864034">
        <w:rPr>
          <w:rFonts w:ascii="Century Gothic" w:eastAsia="Calibri" w:hAnsi="Century Gothic" w:cs="Calibri"/>
          <w:sz w:val="24"/>
          <w:szCs w:val="24"/>
        </w:rPr>
        <w:t>conforme condições estabelecidas neste instrumento e, de forma geral, as seguintes quantidades:</w:t>
      </w:r>
    </w:p>
    <w:p w14:paraId="0D249390" w14:textId="2E291C2F" w:rsidR="00051B60" w:rsidRDefault="00051B60" w:rsidP="00051B60">
      <w:pPr>
        <w:pStyle w:val="PargrafodaLista"/>
        <w:keepNext/>
        <w:keepLines/>
        <w:numPr>
          <w:ilvl w:val="1"/>
          <w:numId w:val="1"/>
        </w:numPr>
        <w:pBdr>
          <w:top w:val="nil"/>
          <w:left w:val="nil"/>
          <w:bottom w:val="nil"/>
          <w:right w:val="nil"/>
          <w:between w:val="nil"/>
        </w:pBd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A contratação envolve os seguintes serviços e quantidades:</w:t>
      </w:r>
    </w:p>
    <w:p w14:paraId="21591D4A" w14:textId="6D492D5E" w:rsidR="00051B60" w:rsidRDefault="00051B60" w:rsidP="00051B60">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Levantamento preliminar</w:t>
      </w:r>
      <w:r w:rsidR="00555013">
        <w:rPr>
          <w:rFonts w:ascii="Century Gothic" w:eastAsia="Calibri" w:hAnsi="Century Gothic" w:cs="Calibri"/>
          <w:sz w:val="24"/>
          <w:szCs w:val="24"/>
        </w:rPr>
        <w:t xml:space="preserve"> das condições do prédio a ser reformado e das necessidades de ampliação e adequação </w:t>
      </w:r>
      <w:r w:rsidR="00D97B15">
        <w:rPr>
          <w:rFonts w:ascii="Century Gothic" w:eastAsia="Calibri" w:hAnsi="Century Gothic" w:cs="Calibri"/>
          <w:sz w:val="24"/>
          <w:szCs w:val="24"/>
        </w:rPr>
        <w:t>d</w:t>
      </w:r>
      <w:r w:rsidR="00555013">
        <w:rPr>
          <w:rFonts w:ascii="Century Gothic" w:eastAsia="Calibri" w:hAnsi="Century Gothic" w:cs="Calibri"/>
          <w:sz w:val="24"/>
          <w:szCs w:val="24"/>
        </w:rPr>
        <w:t>o órgão;</w:t>
      </w:r>
    </w:p>
    <w:p w14:paraId="37CFB997" w14:textId="5CECBCF8" w:rsidR="00F823F7" w:rsidRDefault="03864034" w:rsidP="03864034">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03864034">
        <w:rPr>
          <w:rFonts w:ascii="Century Gothic" w:eastAsia="Calibri" w:hAnsi="Century Gothic" w:cs="Calibri"/>
          <w:sz w:val="24"/>
          <w:szCs w:val="24"/>
        </w:rPr>
        <w:t>Elaboração do projeto arquitetônico e do projeto executivo para reforma do espaço de 846 m</w:t>
      </w:r>
      <w:r w:rsidRPr="03864034">
        <w:rPr>
          <w:rFonts w:ascii="Century Gothic" w:eastAsia="Calibri" w:hAnsi="Century Gothic" w:cs="Calibri"/>
          <w:sz w:val="24"/>
          <w:szCs w:val="24"/>
          <w:vertAlign w:val="superscript"/>
        </w:rPr>
        <w:t xml:space="preserve">2 </w:t>
      </w:r>
      <w:r w:rsidRPr="03864034">
        <w:rPr>
          <w:rFonts w:ascii="Century Gothic" w:eastAsia="Calibri" w:hAnsi="Century Gothic" w:cs="Calibri"/>
          <w:sz w:val="24"/>
          <w:szCs w:val="24"/>
        </w:rPr>
        <w:t>(oitocentos e quarenta e seis metros quadrados) e para ampliação da Câmara Municipal, com a construção de um novo anexo com 400 m</w:t>
      </w:r>
      <w:r w:rsidRPr="03864034">
        <w:rPr>
          <w:rFonts w:ascii="Century Gothic" w:eastAsia="Calibri" w:hAnsi="Century Gothic" w:cs="Calibri"/>
          <w:sz w:val="24"/>
          <w:szCs w:val="24"/>
          <w:vertAlign w:val="superscript"/>
        </w:rPr>
        <w:t>2</w:t>
      </w:r>
      <w:r w:rsidRPr="03864034">
        <w:rPr>
          <w:rFonts w:ascii="Century Gothic" w:eastAsia="Calibri" w:hAnsi="Century Gothic" w:cs="Calibri"/>
          <w:sz w:val="24"/>
          <w:szCs w:val="24"/>
        </w:rPr>
        <w:t xml:space="preserve"> (quatrocentos metros quadrados), além das áreas de estacionamento.</w:t>
      </w:r>
    </w:p>
    <w:p w14:paraId="31F6956D" w14:textId="4A6F3D3C" w:rsidR="00361ACA" w:rsidRDefault="66FD1BF9" w:rsidP="66FD1BF9">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Os Projetos devem conter a revitalização da fachada principal, com solução para substituição e modernização das esquadrias desgastadas; pintura total do anexo existente e solução da substituição do alambrado que é usado para fechamento e demarcação do lote da Câmara municipal.</w:t>
      </w:r>
    </w:p>
    <w:p w14:paraId="3956FB01" w14:textId="36A288FA" w:rsidR="00EF7321" w:rsidRDefault="00EF7321" w:rsidP="00EF7321">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lastRenderedPageBreak/>
        <w:t>O projeto arquitetônico deve</w:t>
      </w:r>
      <w:r w:rsidR="00BF32CF">
        <w:rPr>
          <w:rFonts w:ascii="Century Gothic" w:eastAsia="Calibri" w:hAnsi="Century Gothic" w:cs="Calibri"/>
          <w:sz w:val="24"/>
          <w:szCs w:val="24"/>
        </w:rPr>
        <w:t xml:space="preserve"> </w:t>
      </w:r>
      <w:r w:rsidR="00642895">
        <w:rPr>
          <w:rFonts w:ascii="Century Gothic" w:eastAsia="Calibri" w:hAnsi="Century Gothic" w:cs="Calibri"/>
          <w:sz w:val="24"/>
          <w:szCs w:val="24"/>
        </w:rPr>
        <w:t>levar em consideração</w:t>
      </w:r>
      <w:r w:rsidR="00BF32CF">
        <w:rPr>
          <w:rFonts w:ascii="Century Gothic" w:eastAsia="Calibri" w:hAnsi="Century Gothic" w:cs="Calibri"/>
          <w:sz w:val="24"/>
          <w:szCs w:val="24"/>
        </w:rPr>
        <w:t xml:space="preserve"> o paisagismo</w:t>
      </w:r>
      <w:r w:rsidR="00240FA2">
        <w:rPr>
          <w:rFonts w:ascii="Century Gothic" w:eastAsia="Calibri" w:hAnsi="Century Gothic" w:cs="Calibri"/>
          <w:sz w:val="24"/>
          <w:szCs w:val="24"/>
        </w:rPr>
        <w:t xml:space="preserve"> e </w:t>
      </w:r>
      <w:r w:rsidR="008A6875">
        <w:rPr>
          <w:rFonts w:ascii="Century Gothic" w:eastAsia="Calibri" w:hAnsi="Century Gothic" w:cs="Calibri"/>
          <w:sz w:val="24"/>
          <w:szCs w:val="24"/>
        </w:rPr>
        <w:t xml:space="preserve">a </w:t>
      </w:r>
      <w:r w:rsidR="00BF32CF">
        <w:rPr>
          <w:rFonts w:ascii="Century Gothic" w:eastAsia="Calibri" w:hAnsi="Century Gothic" w:cs="Calibri"/>
          <w:sz w:val="24"/>
          <w:szCs w:val="24"/>
        </w:rPr>
        <w:t>iluminação externa</w:t>
      </w:r>
      <w:r w:rsidR="00071723">
        <w:rPr>
          <w:rFonts w:ascii="Century Gothic" w:eastAsia="Calibri" w:hAnsi="Century Gothic" w:cs="Calibri"/>
          <w:sz w:val="24"/>
          <w:szCs w:val="24"/>
        </w:rPr>
        <w:t>;</w:t>
      </w:r>
    </w:p>
    <w:p w14:paraId="2A91C16B" w14:textId="60FD0D15" w:rsidR="00361ACA" w:rsidRDefault="66FD1BF9" w:rsidP="66FD1BF9">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Os projetos devem ser apresentados também com maquetes em tecnologia 3D, além do projeto executivo (físico), para melhor compreensão da proposta de intervenção, contendo a exposição de todas as etapas da obra e com a compatibilização entre os projetos complementares elaborados, de forma a facilitar a execução dos projetos;</w:t>
      </w:r>
    </w:p>
    <w:p w14:paraId="333B7201" w14:textId="72A02858" w:rsidR="007E4B2F" w:rsidRDefault="00DA1D1C" w:rsidP="00555013">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Elaboração d</w:t>
      </w:r>
      <w:r w:rsidR="005B32A0">
        <w:rPr>
          <w:rFonts w:ascii="Century Gothic" w:eastAsia="Calibri" w:hAnsi="Century Gothic" w:cs="Calibri"/>
          <w:sz w:val="24"/>
          <w:szCs w:val="24"/>
        </w:rPr>
        <w:t>e</w:t>
      </w:r>
      <w:r>
        <w:rPr>
          <w:rFonts w:ascii="Century Gothic" w:eastAsia="Calibri" w:hAnsi="Century Gothic" w:cs="Calibri"/>
          <w:sz w:val="24"/>
          <w:szCs w:val="24"/>
        </w:rPr>
        <w:t xml:space="preserve"> projeto básico/termo de referência e de estudo técnico preliminar para subsidiar o processo licitatório futuro destinado a contratar </w:t>
      </w:r>
      <w:r w:rsidR="00272CF5">
        <w:rPr>
          <w:rFonts w:ascii="Century Gothic" w:eastAsia="Calibri" w:hAnsi="Century Gothic" w:cs="Calibri"/>
          <w:sz w:val="24"/>
          <w:szCs w:val="24"/>
        </w:rPr>
        <w:t xml:space="preserve">fornecedor para executar os projetos de reforma e ampliação descritos no item anterior; </w:t>
      </w:r>
    </w:p>
    <w:p w14:paraId="5109F740" w14:textId="5FB7DF41" w:rsidR="001F67F4" w:rsidRPr="007E4B2F" w:rsidRDefault="001F67F4" w:rsidP="001F67F4">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Apresentar especificações técnicas</w:t>
      </w:r>
      <w:r>
        <w:rPr>
          <w:rFonts w:ascii="Century Gothic" w:eastAsia="Calibri" w:hAnsi="Century Gothic" w:cs="Calibri"/>
          <w:sz w:val="24"/>
          <w:szCs w:val="24"/>
        </w:rPr>
        <w:t xml:space="preserve"> (com o referenciamento dos itens de acabamento em códigos dos fabricantes adotados na elaboração do projeto, se possível)</w:t>
      </w:r>
      <w:r w:rsidRPr="66FD1BF9">
        <w:rPr>
          <w:rFonts w:ascii="Century Gothic" w:eastAsia="Calibri" w:hAnsi="Century Gothic" w:cs="Calibri"/>
          <w:sz w:val="24"/>
          <w:szCs w:val="24"/>
        </w:rPr>
        <w:t>, memoriais descritivos, planilha de quantitativos, orçamento e cronograma físico-financeiro para execução da obra;</w:t>
      </w:r>
    </w:p>
    <w:p w14:paraId="4A55DBEC" w14:textId="5D699164" w:rsidR="00272CF5" w:rsidRDefault="009372CA" w:rsidP="00555013">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Elaboração dos seguintes projetos complementares</w:t>
      </w:r>
      <w:r w:rsidR="00721750">
        <w:rPr>
          <w:rFonts w:ascii="Century Gothic" w:eastAsia="Calibri" w:hAnsi="Century Gothic" w:cs="Calibri"/>
          <w:sz w:val="24"/>
          <w:szCs w:val="24"/>
        </w:rPr>
        <w:t xml:space="preserve"> (tanto para área a ser reformada</w:t>
      </w:r>
      <w:r w:rsidR="00CB7197">
        <w:rPr>
          <w:rStyle w:val="Refdenotaderodap"/>
          <w:rFonts w:ascii="Century Gothic" w:eastAsia="Calibri" w:hAnsi="Century Gothic" w:cs="Calibri"/>
          <w:sz w:val="24"/>
          <w:szCs w:val="24"/>
        </w:rPr>
        <w:footnoteReference w:id="2"/>
      </w:r>
      <w:r w:rsidR="00721750">
        <w:rPr>
          <w:rFonts w:ascii="Century Gothic" w:eastAsia="Calibri" w:hAnsi="Century Gothic" w:cs="Calibri"/>
          <w:sz w:val="24"/>
          <w:szCs w:val="24"/>
        </w:rPr>
        <w:t xml:space="preserve"> quanto para a área a ser ampliada)</w:t>
      </w:r>
      <w:r>
        <w:rPr>
          <w:rFonts w:ascii="Century Gothic" w:eastAsia="Calibri" w:hAnsi="Century Gothic" w:cs="Calibri"/>
          <w:sz w:val="24"/>
          <w:szCs w:val="24"/>
        </w:rPr>
        <w:t>:</w:t>
      </w:r>
    </w:p>
    <w:p w14:paraId="478547A9" w14:textId="79A48603" w:rsidR="009372CA" w:rsidRDefault="009372CA"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Projeto</w:t>
      </w:r>
      <w:r w:rsidR="006739ED">
        <w:rPr>
          <w:rFonts w:ascii="Century Gothic" w:eastAsia="Calibri" w:hAnsi="Century Gothic" w:cs="Calibri"/>
          <w:sz w:val="24"/>
          <w:szCs w:val="24"/>
        </w:rPr>
        <w:t>s</w:t>
      </w:r>
      <w:r>
        <w:rPr>
          <w:rFonts w:ascii="Century Gothic" w:eastAsia="Calibri" w:hAnsi="Century Gothic" w:cs="Calibri"/>
          <w:sz w:val="24"/>
          <w:szCs w:val="24"/>
        </w:rPr>
        <w:t xml:space="preserve"> elétrico</w:t>
      </w:r>
      <w:r w:rsidR="00A66F3C">
        <w:rPr>
          <w:rFonts w:ascii="Century Gothic" w:eastAsia="Calibri" w:hAnsi="Century Gothic" w:cs="Calibri"/>
          <w:sz w:val="24"/>
          <w:szCs w:val="24"/>
        </w:rPr>
        <w:t xml:space="preserve">, de CFTV, de redes e </w:t>
      </w:r>
      <w:r w:rsidR="006E33EF">
        <w:rPr>
          <w:rFonts w:ascii="Century Gothic" w:eastAsia="Calibri" w:hAnsi="Century Gothic" w:cs="Calibri"/>
          <w:sz w:val="24"/>
          <w:szCs w:val="24"/>
        </w:rPr>
        <w:t xml:space="preserve">de </w:t>
      </w:r>
      <w:r w:rsidR="0057125D">
        <w:rPr>
          <w:rFonts w:ascii="Century Gothic" w:eastAsia="Calibri" w:hAnsi="Century Gothic" w:cs="Calibri"/>
          <w:sz w:val="24"/>
          <w:szCs w:val="24"/>
        </w:rPr>
        <w:t>climatização</w:t>
      </w:r>
      <w:r w:rsidR="000D4585">
        <w:rPr>
          <w:rFonts w:ascii="Century Gothic" w:eastAsia="Calibri" w:hAnsi="Century Gothic" w:cs="Calibri"/>
          <w:sz w:val="24"/>
          <w:szCs w:val="24"/>
        </w:rPr>
        <w:t>;</w:t>
      </w:r>
    </w:p>
    <w:p w14:paraId="541C48A7" w14:textId="0DED69AA" w:rsidR="002E4DE2"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Projeto hidrossanitário e de águas pluviais;</w:t>
      </w:r>
    </w:p>
    <w:p w14:paraId="2EC6CAE9" w14:textId="1F17B872" w:rsidR="000D4585"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Projeto de combate a incêndios;</w:t>
      </w:r>
    </w:p>
    <w:p w14:paraId="1A1B803C" w14:textId="40FADF64" w:rsidR="000D4585"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Projeto estrutural;</w:t>
      </w:r>
    </w:p>
    <w:p w14:paraId="307F3017" w14:textId="77CFC727" w:rsidR="005B3912" w:rsidRDefault="66FD1BF9" w:rsidP="009372CA">
      <w:pPr>
        <w:pStyle w:val="PargrafodaLista"/>
        <w:keepNext/>
        <w:keepLines/>
        <w:numPr>
          <w:ilvl w:val="3"/>
          <w:numId w:val="1"/>
        </w:numPr>
        <w:pBdr>
          <w:top w:val="nil"/>
          <w:left w:val="nil"/>
          <w:bottom w:val="nil"/>
          <w:right w:val="nil"/>
          <w:between w:val="nil"/>
        </w:pBdr>
        <w:spacing w:line="360" w:lineRule="auto"/>
        <w:jc w:val="both"/>
        <w:rPr>
          <w:rFonts w:ascii="Century Gothic" w:eastAsia="Calibri" w:hAnsi="Century Gothic" w:cs="Calibri"/>
          <w:sz w:val="24"/>
          <w:szCs w:val="24"/>
        </w:rPr>
      </w:pPr>
      <w:r w:rsidRPr="66FD1BF9">
        <w:rPr>
          <w:rFonts w:ascii="Century Gothic" w:eastAsia="Calibri" w:hAnsi="Century Gothic" w:cs="Calibri"/>
          <w:sz w:val="24"/>
          <w:szCs w:val="24"/>
        </w:rPr>
        <w:t>Laudo técnico de reforma (NBR16280).</w:t>
      </w:r>
    </w:p>
    <w:p w14:paraId="43F9D806" w14:textId="7A0C0A1A" w:rsidR="00F64441" w:rsidRDefault="006B3913" w:rsidP="00F64441">
      <w:pPr>
        <w:pStyle w:val="PargrafodaLista"/>
        <w:keepNext/>
        <w:keepLines/>
        <w:numPr>
          <w:ilvl w:val="2"/>
          <w:numId w:val="1"/>
        </w:numPr>
        <w:pBdr>
          <w:top w:val="nil"/>
          <w:left w:val="nil"/>
          <w:bottom w:val="nil"/>
          <w:right w:val="nil"/>
          <w:between w:val="nil"/>
        </w:pBd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Acompanhar e auxiliar o fiscal do contrato </w:t>
      </w:r>
      <w:r w:rsidR="00CC1E5C">
        <w:rPr>
          <w:rFonts w:ascii="Century Gothic" w:eastAsia="Calibri" w:hAnsi="Century Gothic" w:cs="Calibri"/>
          <w:sz w:val="24"/>
          <w:szCs w:val="24"/>
        </w:rPr>
        <w:t>de execução da obra, emitindo relatórios</w:t>
      </w:r>
      <w:r w:rsidR="005A2245">
        <w:rPr>
          <w:rFonts w:ascii="Century Gothic" w:eastAsia="Calibri" w:hAnsi="Century Gothic" w:cs="Calibri"/>
          <w:sz w:val="24"/>
          <w:szCs w:val="24"/>
        </w:rPr>
        <w:t>.</w:t>
      </w:r>
    </w:p>
    <w:p w14:paraId="666EC9FB" w14:textId="603F368B" w:rsidR="00051B60" w:rsidRDefault="03864034" w:rsidP="03864034">
      <w:pPr>
        <w:pBdr>
          <w:top w:val="nil"/>
          <w:left w:val="nil"/>
          <w:bottom w:val="nil"/>
          <w:right w:val="nil"/>
          <w:between w:val="nil"/>
        </w:pBdr>
        <w:tabs>
          <w:tab w:val="left" w:pos="7936"/>
        </w:tabs>
        <w:spacing w:line="360" w:lineRule="auto"/>
        <w:ind w:right="134"/>
        <w:jc w:val="both"/>
        <w:rPr>
          <w:rFonts w:ascii="Century Gothic" w:hAnsi="Century Gothic"/>
          <w:sz w:val="24"/>
          <w:szCs w:val="24"/>
        </w:rPr>
      </w:pPr>
      <w:r w:rsidRPr="03864034">
        <w:rPr>
          <w:rFonts w:ascii="Century Gothic" w:hAnsi="Century Gothic"/>
          <w:sz w:val="24"/>
          <w:szCs w:val="24"/>
        </w:rPr>
        <w:lastRenderedPageBreak/>
        <w:t>1.3. O prazo de vigência da contratação é de 12 meses, contado da publicação do extrato do contrato a ser assinado.</w:t>
      </w:r>
    </w:p>
    <w:p w14:paraId="43479C51" w14:textId="27FF2586" w:rsidR="00051B60" w:rsidRDefault="00051B60"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r w:rsidRPr="00AE0CC8">
        <w:rPr>
          <w:rFonts w:ascii="Century Gothic" w:eastAsia="Calibri" w:hAnsi="Century Gothic" w:cs="Calibri"/>
          <w:bCs/>
          <w:color w:val="000000"/>
          <w:sz w:val="24"/>
          <w:szCs w:val="24"/>
        </w:rPr>
        <w:t>1.</w:t>
      </w:r>
      <w:r w:rsidR="006739ED">
        <w:rPr>
          <w:rFonts w:ascii="Century Gothic" w:eastAsia="Calibri" w:hAnsi="Century Gothic" w:cs="Calibri"/>
          <w:bCs/>
          <w:color w:val="000000"/>
          <w:sz w:val="24"/>
          <w:szCs w:val="24"/>
        </w:rPr>
        <w:t>4.</w:t>
      </w:r>
      <w:r w:rsidRPr="00AE0CC8">
        <w:rPr>
          <w:rFonts w:ascii="Century Gothic" w:eastAsia="Calibri" w:hAnsi="Century Gothic" w:cs="Calibri"/>
          <w:bCs/>
          <w:color w:val="000000"/>
          <w:sz w:val="24"/>
          <w:szCs w:val="24"/>
        </w:rPr>
        <w:t xml:space="preserve"> A p</w:t>
      </w:r>
      <w:r w:rsidRPr="00BF466D">
        <w:rPr>
          <w:rFonts w:ascii="Century Gothic" w:eastAsia="Calibri" w:hAnsi="Century Gothic" w:cs="Calibri"/>
          <w:bCs/>
          <w:sz w:val="24"/>
          <w:szCs w:val="24"/>
        </w:rPr>
        <w:t>rorrogação da presente contratação poderá ocorrer nas hipóteses previstas no art. 107 e no art. 115, §5º, ambos da Lei nº 14.133/2021</w:t>
      </w:r>
      <w:r w:rsidR="00BF466D">
        <w:rPr>
          <w:rFonts w:ascii="Century Gothic" w:eastAsia="Calibri" w:hAnsi="Century Gothic" w:cs="Calibri"/>
          <w:bCs/>
          <w:sz w:val="24"/>
          <w:szCs w:val="24"/>
        </w:rPr>
        <w:t>, além de outras legalmente previstas</w:t>
      </w:r>
      <w:r w:rsidRPr="00BF466D">
        <w:rPr>
          <w:rFonts w:ascii="Century Gothic" w:eastAsia="Calibri" w:hAnsi="Century Gothic" w:cs="Calibri"/>
          <w:bCs/>
          <w:sz w:val="24"/>
          <w:szCs w:val="24"/>
        </w:rPr>
        <w:t>.</w:t>
      </w:r>
    </w:p>
    <w:p w14:paraId="57D50980" w14:textId="77777777" w:rsidR="000A51E9" w:rsidRDefault="000A51E9"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p>
    <w:p w14:paraId="158730D6" w14:textId="77777777" w:rsidR="000A51E9" w:rsidRPr="00AE0CC8" w:rsidRDefault="000A51E9" w:rsidP="000A51E9">
      <w:pPr>
        <w:keepNext/>
        <w:keepLines/>
        <w:numPr>
          <w:ilvl w:val="0"/>
          <w:numId w:val="1"/>
        </w:numPr>
        <w:pBdr>
          <w:top w:val="nil"/>
          <w:left w:val="nil"/>
          <w:bottom w:val="nil"/>
          <w:right w:val="nil"/>
          <w:between w:val="nil"/>
        </w:pBdr>
        <w:shd w:val="clear" w:color="auto" w:fill="BFBFBF"/>
        <w:tabs>
          <w:tab w:val="left" w:pos="567"/>
        </w:tabs>
        <w:spacing w:line="360" w:lineRule="auto"/>
        <w:jc w:val="both"/>
        <w:rPr>
          <w:rFonts w:ascii="Century Gothic" w:eastAsia="Calibri" w:hAnsi="Century Gothic" w:cs="Calibri"/>
          <w:color w:val="000000"/>
          <w:sz w:val="24"/>
          <w:szCs w:val="24"/>
        </w:rPr>
      </w:pPr>
      <w:r w:rsidRPr="00AE0CC8">
        <w:rPr>
          <w:rFonts w:ascii="Century Gothic" w:eastAsia="Calibri" w:hAnsi="Century Gothic" w:cs="Calibri"/>
          <w:b/>
          <w:color w:val="000000"/>
          <w:sz w:val="24"/>
          <w:szCs w:val="24"/>
        </w:rPr>
        <w:t>DA FUNDAMENTAÇÃO E DA JUSTIFICATIVA DA CONTRATAÇÃO (art. 6º, inciso XXIII, alínea ‘b’, da Lei nº 14.133/2021)</w:t>
      </w:r>
      <w:r>
        <w:rPr>
          <w:rFonts w:ascii="Century Gothic" w:eastAsia="Calibri" w:hAnsi="Century Gothic" w:cs="Calibri"/>
          <w:b/>
          <w:color w:val="000000"/>
          <w:sz w:val="24"/>
          <w:szCs w:val="24"/>
        </w:rPr>
        <w:t>:</w:t>
      </w:r>
    </w:p>
    <w:p w14:paraId="7E69372A" w14:textId="77777777" w:rsidR="000A51E9" w:rsidRPr="008C2633" w:rsidRDefault="000A51E9" w:rsidP="000A51E9">
      <w:pPr>
        <w:keepNext/>
        <w:keepLines/>
        <w:numPr>
          <w:ilvl w:val="1"/>
          <w:numId w:val="1"/>
        </w:numPr>
        <w:pBdr>
          <w:top w:val="nil"/>
          <w:left w:val="nil"/>
          <w:bottom w:val="nil"/>
          <w:right w:val="nil"/>
          <w:between w:val="nil"/>
        </w:pBdr>
        <w:spacing w:line="360" w:lineRule="auto"/>
        <w:ind w:left="0" w:firstLine="0"/>
        <w:jc w:val="both"/>
        <w:rPr>
          <w:rFonts w:ascii="Century Gothic" w:eastAsia="Calibri" w:hAnsi="Century Gothic" w:cs="Calibri"/>
          <w:b/>
          <w:bCs/>
          <w:color w:val="000000"/>
          <w:sz w:val="24"/>
          <w:szCs w:val="24"/>
        </w:rPr>
      </w:pPr>
      <w:r w:rsidRPr="00CC5893">
        <w:rPr>
          <w:rFonts w:ascii="Century Gothic" w:eastAsia="Calibri" w:hAnsi="Century Gothic" w:cs="Calibri"/>
          <w:sz w:val="24"/>
          <w:szCs w:val="24"/>
        </w:rPr>
        <w:t>A fundamentação, a justificativa e as quantidades do objeto da contratação constam do Estudo Técnico Preliminar – ETP em anexo a este termo de referência.</w:t>
      </w:r>
    </w:p>
    <w:p w14:paraId="2E8A951C" w14:textId="77777777" w:rsidR="000A51E9" w:rsidRDefault="000A51E9"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p>
    <w:p w14:paraId="4134E9C5" w14:textId="77777777" w:rsidR="000A51E9" w:rsidRPr="00CC5893" w:rsidRDefault="000A51E9" w:rsidP="000A51E9">
      <w:pPr>
        <w:keepNext/>
        <w:keepLines/>
        <w:numPr>
          <w:ilvl w:val="0"/>
          <w:numId w:val="1"/>
        </w:numPr>
        <w:pBdr>
          <w:top w:val="nil"/>
          <w:left w:val="nil"/>
          <w:bottom w:val="nil"/>
          <w:right w:val="nil"/>
          <w:between w:val="nil"/>
        </w:pBdr>
        <w:shd w:val="clear" w:color="auto" w:fill="BFBFBF"/>
        <w:spacing w:line="360" w:lineRule="auto"/>
        <w:ind w:left="357" w:hanging="357"/>
        <w:jc w:val="both"/>
        <w:rPr>
          <w:rFonts w:ascii="Century Gothic" w:eastAsia="Calibri" w:hAnsi="Century Gothic" w:cs="Calibri"/>
          <w:b/>
          <w:bCs/>
          <w:color w:val="000000"/>
          <w:sz w:val="24"/>
          <w:szCs w:val="24"/>
        </w:rPr>
      </w:pPr>
      <w:r w:rsidRPr="00CC5893">
        <w:rPr>
          <w:rFonts w:ascii="Century Gothic" w:hAnsi="Century Gothic"/>
          <w:b/>
          <w:bCs/>
        </w:rPr>
        <w:t>DESCRIÇÃO DA SOLUÇÃO COMO UM TODO CONSIDERADO O CICLO DE VIDA DO OBJETO E ESPECIFICAÇÃO DO PRODUTO (art. 6º, inciso XXIII, alínea ‘c’, e art. 40, §1º, inciso I, da Lei nº 14.133/2021):</w:t>
      </w:r>
    </w:p>
    <w:p w14:paraId="25F912DE" w14:textId="77777777" w:rsidR="000A51E9" w:rsidRDefault="000A51E9" w:rsidP="000A51E9">
      <w:pPr>
        <w:pStyle w:val="PargrafodaLista"/>
        <w:keepNext/>
        <w:keepLines/>
        <w:numPr>
          <w:ilvl w:val="1"/>
          <w:numId w:val="2"/>
        </w:numPr>
        <w:pBdr>
          <w:top w:val="nil"/>
          <w:left w:val="nil"/>
          <w:bottom w:val="nil"/>
          <w:right w:val="nil"/>
          <w:between w:val="nil"/>
        </w:pBdr>
        <w:tabs>
          <w:tab w:val="left" w:pos="567"/>
        </w:tabs>
        <w:spacing w:line="360" w:lineRule="auto"/>
        <w:ind w:left="0" w:firstLine="0"/>
        <w:jc w:val="both"/>
        <w:rPr>
          <w:rFonts w:ascii="Century Gothic" w:eastAsia="Calibri" w:hAnsi="Century Gothic" w:cs="Calibri"/>
          <w:color w:val="000000"/>
          <w:sz w:val="24"/>
          <w:szCs w:val="24"/>
        </w:rPr>
      </w:pPr>
      <w:r w:rsidRPr="00874739">
        <w:rPr>
          <w:rFonts w:ascii="Century Gothic" w:eastAsia="Calibri" w:hAnsi="Century Gothic" w:cs="Calibri"/>
          <w:color w:val="000000"/>
          <w:sz w:val="24"/>
          <w:szCs w:val="24"/>
        </w:rPr>
        <w:t>A descrição da solução como um todo, encontra-se pormenorizada em tópico específico dos Estudos Técnicos Preliminares, apêndice deste Termo de Referência.</w:t>
      </w:r>
    </w:p>
    <w:p w14:paraId="3FBFEEB2" w14:textId="77777777" w:rsidR="000A51E9" w:rsidRDefault="000A51E9" w:rsidP="00051B60">
      <w:pPr>
        <w:pStyle w:val="PargrafodaLista"/>
        <w:pBdr>
          <w:top w:val="nil"/>
          <w:left w:val="nil"/>
          <w:bottom w:val="nil"/>
          <w:right w:val="nil"/>
          <w:between w:val="nil"/>
        </w:pBdr>
        <w:tabs>
          <w:tab w:val="left" w:pos="7936"/>
        </w:tabs>
        <w:spacing w:line="360" w:lineRule="auto"/>
        <w:ind w:left="0" w:right="134"/>
        <w:jc w:val="both"/>
        <w:rPr>
          <w:rFonts w:ascii="Century Gothic" w:eastAsia="Calibri" w:hAnsi="Century Gothic" w:cs="Calibri"/>
          <w:bCs/>
          <w:sz w:val="24"/>
          <w:szCs w:val="24"/>
        </w:rPr>
      </w:pPr>
    </w:p>
    <w:p w14:paraId="296EB5C2"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p>
    <w:p w14:paraId="173FA719" w14:textId="77777777" w:rsidR="00A21D6E" w:rsidRPr="00AE0CC8" w:rsidRDefault="00A21D6E" w:rsidP="00A21D6E">
      <w:pPr>
        <w:keepNext/>
        <w:keepLines/>
        <w:numPr>
          <w:ilvl w:val="0"/>
          <w:numId w:val="1"/>
        </w:numPr>
        <w:pBdr>
          <w:top w:val="nil"/>
          <w:left w:val="nil"/>
          <w:bottom w:val="nil"/>
          <w:right w:val="nil"/>
          <w:between w:val="nil"/>
        </w:pBdr>
        <w:shd w:val="clear" w:color="auto" w:fill="BFBFBF"/>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b/>
          <w:color w:val="000000"/>
          <w:sz w:val="24"/>
          <w:szCs w:val="24"/>
        </w:rPr>
        <w:t>DOS REQUISITOS DA CONTRATAÇÃO (</w:t>
      </w:r>
      <w:r w:rsidRPr="00874739">
        <w:rPr>
          <w:rFonts w:ascii="Century Gothic" w:eastAsia="Calibri" w:hAnsi="Century Gothic" w:cs="Calibri"/>
          <w:b/>
          <w:color w:val="000000"/>
          <w:sz w:val="24"/>
          <w:szCs w:val="24"/>
        </w:rPr>
        <w:t>art. 6º, XXIII, alínea ‘d’, da Lei nº 14.133/21</w:t>
      </w:r>
      <w:r>
        <w:rPr>
          <w:rFonts w:ascii="Century Gothic" w:eastAsia="Calibri" w:hAnsi="Century Gothic" w:cs="Calibri"/>
          <w:b/>
          <w:color w:val="000000"/>
          <w:sz w:val="24"/>
          <w:szCs w:val="24"/>
        </w:rPr>
        <w:t>):</w:t>
      </w:r>
    </w:p>
    <w:p w14:paraId="7FFA38D4"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4.1.</w:t>
      </w:r>
      <w:r w:rsidRPr="00874739">
        <w:rPr>
          <w:rFonts w:ascii="Century Gothic" w:eastAsia="Calibri" w:hAnsi="Century Gothic" w:cs="Calibri"/>
          <w:color w:val="000000"/>
          <w:sz w:val="24"/>
          <w:szCs w:val="24"/>
        </w:rPr>
        <w:tab/>
      </w:r>
      <w:r>
        <w:rPr>
          <w:rFonts w:ascii="Century Gothic" w:eastAsia="Calibri" w:hAnsi="Century Gothic" w:cs="Calibri"/>
          <w:color w:val="000000"/>
          <w:sz w:val="24"/>
          <w:szCs w:val="24"/>
        </w:rPr>
        <w:t>A contratação deve observar os requisitos descritos no item 3 do Estudo Técnico Preliminar – ETP.</w:t>
      </w:r>
    </w:p>
    <w:p w14:paraId="3D63198C"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4.2. Os projetos deverão ser elaborados e entregues no prazo 50 (cinquenta) dias corridos, contado da emissão da ordem de serviço.</w:t>
      </w:r>
    </w:p>
    <w:p w14:paraId="1DD7E581"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4.2.1. A Contratada deverá se reunir periodicamente com representante da Contratante para submeter as soluções adotadas à aprovação; </w:t>
      </w:r>
    </w:p>
    <w:p w14:paraId="7E8C50F0"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4.2.2. As soluções deverão ser adotadas a partir das indicações feitas pelo órgão, de modo a atender às necessidades descritas no Estudo Técnico Preliminar – ETP.</w:t>
      </w:r>
    </w:p>
    <w:p w14:paraId="680A078A" w14:textId="77777777" w:rsidR="00A21D6E" w:rsidRPr="003C0AE3"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 </w:t>
      </w:r>
      <w:r w:rsidRPr="003C0AE3">
        <w:rPr>
          <w:rFonts w:ascii="Century Gothic" w:eastAsia="Calibri" w:hAnsi="Century Gothic" w:cs="Calibri"/>
          <w:color w:val="000000"/>
          <w:sz w:val="24"/>
          <w:szCs w:val="24"/>
        </w:rPr>
        <w:t>O projeto básico e demais projetos deverão observar os seguintes requisitos</w:t>
      </w:r>
      <w:r>
        <w:rPr>
          <w:rFonts w:ascii="Century Gothic" w:eastAsia="Calibri" w:hAnsi="Century Gothic" w:cs="Calibri"/>
          <w:color w:val="000000"/>
          <w:sz w:val="24"/>
          <w:szCs w:val="24"/>
        </w:rPr>
        <w:t xml:space="preserve"> mínimos</w:t>
      </w:r>
      <w:r w:rsidRPr="003C0AE3">
        <w:rPr>
          <w:rFonts w:ascii="Century Gothic" w:eastAsia="Calibri" w:hAnsi="Century Gothic" w:cs="Calibri"/>
          <w:color w:val="000000"/>
          <w:sz w:val="24"/>
          <w:szCs w:val="24"/>
        </w:rPr>
        <w:t xml:space="preserve"> para serem implementados com a execução:</w:t>
      </w:r>
    </w:p>
    <w:p w14:paraId="63D018D0"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w:t>
      </w:r>
      <w:r w:rsidRPr="003C0AE3">
        <w:rPr>
          <w:rFonts w:ascii="Century Gothic" w:eastAsia="Calibri" w:hAnsi="Century Gothic" w:cs="Calibri"/>
          <w:color w:val="000000"/>
          <w:sz w:val="24"/>
          <w:szCs w:val="24"/>
        </w:rPr>
        <w:t xml:space="preserve">1. Reforma </w:t>
      </w:r>
      <w:r>
        <w:rPr>
          <w:rFonts w:ascii="Century Gothic" w:eastAsia="Calibri" w:hAnsi="Century Gothic" w:cs="Calibri"/>
          <w:color w:val="000000"/>
          <w:sz w:val="24"/>
          <w:szCs w:val="24"/>
        </w:rPr>
        <w:t>da cobertura (prédio atual do órgão)</w:t>
      </w:r>
      <w:r w:rsidRPr="003C0AE3">
        <w:rPr>
          <w:rFonts w:ascii="Century Gothic" w:eastAsia="Calibri" w:hAnsi="Century Gothic" w:cs="Calibri"/>
          <w:color w:val="000000"/>
          <w:sz w:val="24"/>
          <w:szCs w:val="24"/>
        </w:rPr>
        <w:t>:</w:t>
      </w:r>
    </w:p>
    <w:p w14:paraId="4154E20B"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a) Substituição das telhas metálicas adotando por telhas de zinco </w:t>
      </w:r>
      <w:r>
        <w:rPr>
          <w:rFonts w:ascii="Century Gothic" w:eastAsia="Calibri" w:hAnsi="Century Gothic" w:cs="Calibri"/>
          <w:color w:val="000000"/>
          <w:sz w:val="24"/>
          <w:szCs w:val="24"/>
        </w:rPr>
        <w:t>(</w:t>
      </w:r>
      <w:r w:rsidRPr="003C0AE3">
        <w:rPr>
          <w:rFonts w:ascii="Century Gothic" w:eastAsia="Calibri" w:hAnsi="Century Gothic" w:cs="Calibri"/>
          <w:color w:val="000000"/>
          <w:sz w:val="24"/>
          <w:szCs w:val="24"/>
        </w:rPr>
        <w:t>tipo sanduíche</w:t>
      </w:r>
      <w:r>
        <w:rPr>
          <w:rFonts w:ascii="Century Gothic" w:eastAsia="Calibri" w:hAnsi="Century Gothic" w:cs="Calibri"/>
          <w:color w:val="000000"/>
          <w:sz w:val="24"/>
          <w:szCs w:val="24"/>
        </w:rPr>
        <w:t>)</w:t>
      </w:r>
      <w:r w:rsidRPr="003C0AE3">
        <w:rPr>
          <w:rFonts w:ascii="Century Gothic" w:eastAsia="Calibri" w:hAnsi="Century Gothic" w:cs="Calibri"/>
          <w:color w:val="000000"/>
          <w:sz w:val="24"/>
          <w:szCs w:val="24"/>
        </w:rPr>
        <w:t xml:space="preserve">; </w:t>
      </w:r>
    </w:p>
    <w:p w14:paraId="70708AD9"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b) Projeto complementar de águas pluviais</w:t>
      </w:r>
      <w:r>
        <w:rPr>
          <w:rFonts w:ascii="Century Gothic" w:eastAsia="Calibri" w:hAnsi="Century Gothic" w:cs="Calibri"/>
          <w:color w:val="000000"/>
          <w:sz w:val="24"/>
          <w:szCs w:val="24"/>
        </w:rPr>
        <w:t>, como medida para solucionar os atuais problemas de infiltração</w:t>
      </w:r>
      <w:r w:rsidRPr="003C0AE3">
        <w:rPr>
          <w:rFonts w:ascii="Century Gothic" w:eastAsia="Calibri" w:hAnsi="Century Gothic" w:cs="Calibri"/>
          <w:color w:val="000000"/>
          <w:sz w:val="24"/>
          <w:szCs w:val="24"/>
        </w:rPr>
        <w:t>.</w:t>
      </w:r>
    </w:p>
    <w:p w14:paraId="288B9248"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w:t>
      </w:r>
      <w:r w:rsidRPr="003C0AE3">
        <w:rPr>
          <w:rFonts w:ascii="Century Gothic" w:eastAsia="Calibri" w:hAnsi="Century Gothic" w:cs="Calibri"/>
          <w:color w:val="000000"/>
          <w:sz w:val="24"/>
          <w:szCs w:val="24"/>
        </w:rPr>
        <w:t>2. Sistema elétrico:</w:t>
      </w:r>
    </w:p>
    <w:p w14:paraId="0D7799EB"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a) Reconstituição do projeto elétrico e de iluminação do prédio a ser reformado (</w:t>
      </w:r>
      <w:r w:rsidRPr="03864034">
        <w:rPr>
          <w:rFonts w:ascii="Century Gothic" w:eastAsia="Calibri" w:hAnsi="Century Gothic" w:cs="Calibri"/>
          <w:i/>
          <w:iCs/>
          <w:color w:val="000000" w:themeColor="text1"/>
          <w:sz w:val="24"/>
          <w:szCs w:val="24"/>
        </w:rPr>
        <w:t xml:space="preserve">as </w:t>
      </w:r>
      <w:proofErr w:type="spellStart"/>
      <w:r w:rsidRPr="03864034">
        <w:rPr>
          <w:rFonts w:ascii="Century Gothic" w:eastAsia="Calibri" w:hAnsi="Century Gothic" w:cs="Calibri"/>
          <w:i/>
          <w:iCs/>
          <w:color w:val="000000" w:themeColor="text1"/>
          <w:sz w:val="24"/>
          <w:szCs w:val="24"/>
        </w:rPr>
        <w:t>built</w:t>
      </w:r>
      <w:proofErr w:type="spellEnd"/>
      <w:r w:rsidRPr="03864034">
        <w:rPr>
          <w:rFonts w:ascii="Century Gothic" w:eastAsia="Calibri" w:hAnsi="Century Gothic" w:cs="Calibri"/>
          <w:color w:val="000000" w:themeColor="text1"/>
          <w:sz w:val="24"/>
          <w:szCs w:val="24"/>
        </w:rPr>
        <w:t>);</w:t>
      </w:r>
    </w:p>
    <w:p w14:paraId="405883F8"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b) Elaboração do projeto elétrico e de iluminação do novo anexo e área externa</w:t>
      </w:r>
      <w:r w:rsidRPr="003C0AE3">
        <w:rPr>
          <w:rFonts w:ascii="Century Gothic" w:eastAsia="Calibri" w:hAnsi="Century Gothic" w:cs="Calibri"/>
          <w:color w:val="000000"/>
          <w:sz w:val="24"/>
          <w:szCs w:val="24"/>
        </w:rPr>
        <w:t>;</w:t>
      </w:r>
    </w:p>
    <w:p w14:paraId="1ECB9265"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lastRenderedPageBreak/>
        <w:t>c</w:t>
      </w:r>
      <w:r w:rsidRPr="003C0AE3">
        <w:rPr>
          <w:rFonts w:ascii="Century Gothic" w:eastAsia="Calibri" w:hAnsi="Century Gothic" w:cs="Calibri"/>
          <w:color w:val="000000"/>
          <w:sz w:val="24"/>
          <w:szCs w:val="24"/>
        </w:rPr>
        <w:t xml:space="preserve">) Instalação de sistema de geração de energia solar (preferencialmente garagem coberta com placas fotovoltaicas); </w:t>
      </w:r>
    </w:p>
    <w:p w14:paraId="02BBE33E"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d) Projeto de combate a incêndio</w:t>
      </w:r>
      <w:r>
        <w:rPr>
          <w:rFonts w:ascii="Century Gothic" w:eastAsia="Calibri" w:hAnsi="Century Gothic" w:cs="Calibri"/>
          <w:color w:val="000000"/>
          <w:sz w:val="24"/>
          <w:szCs w:val="24"/>
        </w:rPr>
        <w:t xml:space="preserve"> do prédio a ser reformado e do novo anexo</w:t>
      </w:r>
      <w:r w:rsidRPr="003C0AE3">
        <w:rPr>
          <w:rFonts w:ascii="Century Gothic" w:eastAsia="Calibri" w:hAnsi="Century Gothic" w:cs="Calibri"/>
          <w:color w:val="000000"/>
          <w:sz w:val="24"/>
          <w:szCs w:val="24"/>
        </w:rPr>
        <w:t>;</w:t>
      </w:r>
    </w:p>
    <w:p w14:paraId="7D097DFD"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e) Projeto de climatização</w:t>
      </w:r>
      <w:r>
        <w:rPr>
          <w:rFonts w:ascii="Century Gothic" w:eastAsia="Calibri" w:hAnsi="Century Gothic" w:cs="Calibri"/>
          <w:color w:val="000000"/>
          <w:sz w:val="24"/>
          <w:szCs w:val="24"/>
        </w:rPr>
        <w:t xml:space="preserve"> do prédio a ser reformado e do novo anexo;</w:t>
      </w:r>
    </w:p>
    <w:p w14:paraId="70334327"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f) Projeto de CFTV e redes, conforme especificações mínimas exigidas. </w:t>
      </w:r>
    </w:p>
    <w:p w14:paraId="79A423D4"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w:t>
      </w:r>
      <w:r w:rsidRPr="003C0AE3">
        <w:rPr>
          <w:rFonts w:ascii="Century Gothic" w:eastAsia="Calibri" w:hAnsi="Century Gothic" w:cs="Calibri"/>
          <w:color w:val="000000"/>
          <w:sz w:val="24"/>
          <w:szCs w:val="24"/>
        </w:rPr>
        <w:t xml:space="preserve">3. </w:t>
      </w:r>
      <w:r>
        <w:rPr>
          <w:rFonts w:ascii="Century Gothic" w:eastAsia="Calibri" w:hAnsi="Century Gothic" w:cs="Calibri"/>
          <w:color w:val="000000"/>
          <w:sz w:val="24"/>
          <w:szCs w:val="24"/>
        </w:rPr>
        <w:t xml:space="preserve">Sistema hidrossanitário: </w:t>
      </w:r>
    </w:p>
    <w:p w14:paraId="28FF752D"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a) Reconstituição do projeto hidrossanitário e de águas pluviais do prédio a ser reformado (</w:t>
      </w:r>
      <w:r w:rsidRPr="03864034">
        <w:rPr>
          <w:rFonts w:ascii="Century Gothic" w:eastAsia="Calibri" w:hAnsi="Century Gothic" w:cs="Calibri"/>
          <w:i/>
          <w:iCs/>
          <w:color w:val="000000" w:themeColor="text1"/>
          <w:sz w:val="24"/>
          <w:szCs w:val="24"/>
        </w:rPr>
        <w:t xml:space="preserve">as </w:t>
      </w:r>
      <w:proofErr w:type="spellStart"/>
      <w:r w:rsidRPr="03864034">
        <w:rPr>
          <w:rFonts w:ascii="Century Gothic" w:eastAsia="Calibri" w:hAnsi="Century Gothic" w:cs="Calibri"/>
          <w:i/>
          <w:iCs/>
          <w:color w:val="000000" w:themeColor="text1"/>
          <w:sz w:val="24"/>
          <w:szCs w:val="24"/>
        </w:rPr>
        <w:t>built</w:t>
      </w:r>
      <w:proofErr w:type="spellEnd"/>
      <w:r w:rsidRPr="03864034">
        <w:rPr>
          <w:rFonts w:ascii="Century Gothic" w:eastAsia="Calibri" w:hAnsi="Century Gothic" w:cs="Calibri"/>
          <w:color w:val="000000" w:themeColor="text1"/>
          <w:sz w:val="24"/>
          <w:szCs w:val="24"/>
        </w:rPr>
        <w:t>);</w:t>
      </w:r>
    </w:p>
    <w:p w14:paraId="6B3F0E3F" w14:textId="77777777" w:rsidR="00A21D6E" w:rsidRPr="003C0AE3"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b) Elaboração do </w:t>
      </w:r>
      <w:r w:rsidRPr="00E37E2E">
        <w:rPr>
          <w:rFonts w:ascii="Century Gothic" w:eastAsia="Calibri" w:hAnsi="Century Gothic" w:cs="Calibri"/>
          <w:color w:val="000000"/>
          <w:sz w:val="24"/>
          <w:szCs w:val="24"/>
        </w:rPr>
        <w:t>projeto hidrossanitário e de águas pluviais</w:t>
      </w:r>
      <w:r>
        <w:rPr>
          <w:rFonts w:ascii="Century Gothic" w:eastAsia="Calibri" w:hAnsi="Century Gothic" w:cs="Calibri"/>
          <w:color w:val="000000"/>
          <w:sz w:val="24"/>
          <w:szCs w:val="24"/>
        </w:rPr>
        <w:t xml:space="preserve"> do novo anexo e área externa</w:t>
      </w:r>
      <w:r w:rsidRPr="003C0AE3">
        <w:rPr>
          <w:rFonts w:ascii="Century Gothic" w:eastAsia="Calibri" w:hAnsi="Century Gothic" w:cs="Calibri"/>
          <w:color w:val="000000"/>
          <w:sz w:val="24"/>
          <w:szCs w:val="24"/>
        </w:rPr>
        <w:t>;</w:t>
      </w:r>
    </w:p>
    <w:p w14:paraId="6D126AFD"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c) Adequação dos projetos à utilização do poço artesiano existente no órgão;</w:t>
      </w:r>
    </w:p>
    <w:p w14:paraId="769F5F86" w14:textId="77777777" w:rsidR="00A21D6E" w:rsidRDefault="00A21D6E" w:rsidP="00A21D6E">
      <w:pPr>
        <w:keepNext/>
        <w:keepLines/>
        <w:pBdr>
          <w:top w:val="nil"/>
          <w:left w:val="nil"/>
          <w:bottom w:val="nil"/>
          <w:right w:val="nil"/>
          <w:between w:val="nil"/>
        </w:pBdr>
        <w:tabs>
          <w:tab w:val="left" w:pos="567"/>
        </w:tabs>
        <w:spacing w:line="360" w:lineRule="auto"/>
        <w:ind w:left="851"/>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d) Criação de um sistema de irrigação dos jardins (que estarão no paisagismo). </w:t>
      </w:r>
    </w:p>
    <w:p w14:paraId="5B207C02"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4.3.4. </w:t>
      </w:r>
      <w:r w:rsidRPr="003C0AE3">
        <w:rPr>
          <w:rFonts w:ascii="Century Gothic" w:eastAsia="Calibri" w:hAnsi="Century Gothic" w:cs="Calibri"/>
          <w:color w:val="000000"/>
          <w:sz w:val="24"/>
          <w:szCs w:val="24"/>
        </w:rPr>
        <w:t>Reforma</w:t>
      </w:r>
      <w:r>
        <w:rPr>
          <w:rFonts w:ascii="Century Gothic" w:eastAsia="Calibri" w:hAnsi="Century Gothic" w:cs="Calibri"/>
          <w:color w:val="000000"/>
          <w:sz w:val="24"/>
          <w:szCs w:val="24"/>
        </w:rPr>
        <w:t xml:space="preserve"> da edificação existente com mudança na configuração das salas</w:t>
      </w:r>
      <w:r w:rsidRPr="003C0AE3">
        <w:rPr>
          <w:rFonts w:ascii="Century Gothic" w:eastAsia="Calibri" w:hAnsi="Century Gothic" w:cs="Calibri"/>
          <w:color w:val="000000"/>
          <w:sz w:val="24"/>
          <w:szCs w:val="24"/>
        </w:rPr>
        <w:t>:</w:t>
      </w:r>
    </w:p>
    <w:p w14:paraId="08423AF6" w14:textId="77777777" w:rsidR="00A21D6E" w:rsidRPr="003C0AE3" w:rsidRDefault="00A21D6E" w:rsidP="00A21D6E">
      <w:pPr>
        <w:keepNext/>
        <w:keepLines/>
        <w:pBdr>
          <w:top w:val="nil"/>
          <w:left w:val="nil"/>
          <w:bottom w:val="nil"/>
          <w:right w:val="nil"/>
          <w:between w:val="nil"/>
        </w:pBdr>
        <w:tabs>
          <w:tab w:val="left" w:pos="567"/>
        </w:tabs>
        <w:spacing w:line="360" w:lineRule="auto"/>
        <w:ind w:left="993"/>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4.3.4.1. Reconstituição do projeto arquitetônico (as</w:t>
      </w:r>
      <w:r w:rsidRPr="03864034">
        <w:rPr>
          <w:rFonts w:ascii="Century Gothic" w:eastAsia="Calibri" w:hAnsi="Century Gothic" w:cs="Calibri"/>
          <w:i/>
          <w:iCs/>
          <w:color w:val="000000" w:themeColor="text1"/>
          <w:sz w:val="24"/>
          <w:szCs w:val="24"/>
        </w:rPr>
        <w:t xml:space="preserve"> </w:t>
      </w:r>
      <w:proofErr w:type="spellStart"/>
      <w:r w:rsidRPr="03864034">
        <w:rPr>
          <w:rFonts w:ascii="Century Gothic" w:eastAsia="Calibri" w:hAnsi="Century Gothic" w:cs="Calibri"/>
          <w:i/>
          <w:iCs/>
          <w:color w:val="000000" w:themeColor="text1"/>
          <w:sz w:val="24"/>
          <w:szCs w:val="24"/>
        </w:rPr>
        <w:t>built</w:t>
      </w:r>
      <w:proofErr w:type="spellEnd"/>
      <w:r w:rsidRPr="03864034">
        <w:rPr>
          <w:rFonts w:ascii="Century Gothic" w:eastAsia="Calibri" w:hAnsi="Century Gothic" w:cs="Calibri"/>
          <w:color w:val="000000" w:themeColor="text1"/>
          <w:sz w:val="24"/>
          <w:szCs w:val="24"/>
        </w:rPr>
        <w:t>), caso necessário, e elaboração do Projeto arquitetônico abrangendo a reforma do atual espaço, com a retirada dos gabinetes e substituição das divisórias náuticas por paredes com isolamento acústico (</w:t>
      </w:r>
      <w:proofErr w:type="spellStart"/>
      <w:r w:rsidRPr="03864034">
        <w:rPr>
          <w:rFonts w:ascii="Century Gothic" w:eastAsia="Calibri" w:hAnsi="Century Gothic" w:cs="Calibri"/>
          <w:i/>
          <w:iCs/>
          <w:color w:val="000000" w:themeColor="text1"/>
          <w:sz w:val="24"/>
          <w:szCs w:val="24"/>
        </w:rPr>
        <w:t>drywall</w:t>
      </w:r>
      <w:proofErr w:type="spellEnd"/>
      <w:r w:rsidRPr="03864034">
        <w:rPr>
          <w:rFonts w:ascii="Century Gothic" w:eastAsia="Calibri" w:hAnsi="Century Gothic" w:cs="Calibri"/>
          <w:color w:val="000000" w:themeColor="text1"/>
          <w:sz w:val="24"/>
          <w:szCs w:val="24"/>
        </w:rPr>
        <w:t>, alvenaria ou congênere), com a redistribuição das salas da seguinte forma:</w:t>
      </w:r>
    </w:p>
    <w:p w14:paraId="6FDCA7DC"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lastRenderedPageBreak/>
        <w:t>a) Sala com acesso à presidência para os assessores especial e do vereador Presidente;</w:t>
      </w:r>
    </w:p>
    <w:p w14:paraId="7F20A179"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b) Ao lado da sala dos assessores da Presidência, sala da Secretaria - Geral com espaço para 1 servidor;</w:t>
      </w:r>
    </w:p>
    <w:p w14:paraId="21DF9738"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c) Ao lado do espaço anterior, sala para funcionamento do setor de contabilidade (1 servidor), para o Departamento Financeiro (1 servidor) e para o Departamento de Administração e Recursos Humanos (1 servidor);</w:t>
      </w:r>
    </w:p>
    <w:p w14:paraId="19B9075A"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d) Espaço onde funcionam os gabinetes dos vereadores Anderson </w:t>
      </w:r>
      <w:proofErr w:type="spellStart"/>
      <w:r w:rsidRPr="003C0AE3">
        <w:rPr>
          <w:rFonts w:ascii="Century Gothic" w:eastAsia="Calibri" w:hAnsi="Century Gothic" w:cs="Calibri"/>
          <w:color w:val="000000"/>
          <w:sz w:val="24"/>
          <w:szCs w:val="24"/>
        </w:rPr>
        <w:t>Arry</w:t>
      </w:r>
      <w:proofErr w:type="spellEnd"/>
      <w:r w:rsidRPr="003C0AE3">
        <w:rPr>
          <w:rFonts w:ascii="Century Gothic" w:eastAsia="Calibri" w:hAnsi="Century Gothic" w:cs="Calibri"/>
          <w:color w:val="000000"/>
          <w:sz w:val="24"/>
          <w:szCs w:val="24"/>
        </w:rPr>
        <w:t xml:space="preserve">; Nego da Borracharia; </w:t>
      </w:r>
      <w:proofErr w:type="spellStart"/>
      <w:r w:rsidRPr="003C0AE3">
        <w:rPr>
          <w:rFonts w:ascii="Century Gothic" w:eastAsia="Calibri" w:hAnsi="Century Gothic" w:cs="Calibri"/>
          <w:color w:val="000000"/>
          <w:sz w:val="24"/>
          <w:szCs w:val="24"/>
        </w:rPr>
        <w:t>Cascãozinho</w:t>
      </w:r>
      <w:proofErr w:type="spellEnd"/>
      <w:r w:rsidRPr="003C0AE3">
        <w:rPr>
          <w:rFonts w:ascii="Century Gothic" w:eastAsia="Calibri" w:hAnsi="Century Gothic" w:cs="Calibri"/>
          <w:color w:val="000000"/>
          <w:sz w:val="24"/>
          <w:szCs w:val="24"/>
        </w:rPr>
        <w:t xml:space="preserve">; Rose Pereira; Isac Bernardo; e </w:t>
      </w:r>
      <w:r>
        <w:rPr>
          <w:rFonts w:ascii="Century Gothic" w:eastAsia="Calibri" w:hAnsi="Century Gothic" w:cs="Calibri"/>
          <w:color w:val="000000"/>
          <w:sz w:val="24"/>
          <w:szCs w:val="24"/>
        </w:rPr>
        <w:t>Tiago</w:t>
      </w:r>
      <w:r w:rsidRPr="003C0AE3">
        <w:rPr>
          <w:rFonts w:ascii="Century Gothic" w:eastAsia="Calibri" w:hAnsi="Century Gothic" w:cs="Calibri"/>
          <w:color w:val="000000"/>
          <w:sz w:val="24"/>
          <w:szCs w:val="24"/>
        </w:rPr>
        <w:t xml:space="preserve"> transformado em cinco salas para funcionamento das atividades administrativas:</w:t>
      </w:r>
    </w:p>
    <w:p w14:paraId="6A5BD086"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 - 2 salas para Agentes de Administração (2 servidores);</w:t>
      </w:r>
    </w:p>
    <w:p w14:paraId="5F5B93CC" w14:textId="77777777" w:rsidR="00A21D6E"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 - 1 sala para o setor jurídico (1 servidor);</w:t>
      </w:r>
    </w:p>
    <w:p w14:paraId="5741E142"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- 1 sala para o controle interno;</w:t>
      </w:r>
    </w:p>
    <w:p w14:paraId="156B8D40"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 - 1 sala para o</w:t>
      </w:r>
      <w:r>
        <w:rPr>
          <w:rFonts w:ascii="Century Gothic" w:eastAsia="Calibri" w:hAnsi="Century Gothic" w:cs="Calibri"/>
          <w:color w:val="000000"/>
          <w:sz w:val="24"/>
          <w:szCs w:val="24"/>
        </w:rPr>
        <w:t xml:space="preserve"> Departamento de Licitação e</w:t>
      </w:r>
      <w:r w:rsidRPr="003C0AE3">
        <w:rPr>
          <w:rFonts w:ascii="Century Gothic" w:eastAsia="Calibri" w:hAnsi="Century Gothic" w:cs="Calibri"/>
          <w:color w:val="000000"/>
          <w:sz w:val="24"/>
          <w:szCs w:val="24"/>
        </w:rPr>
        <w:t xml:space="preserve"> setor de compras (</w:t>
      </w:r>
      <w:r>
        <w:rPr>
          <w:rFonts w:ascii="Century Gothic" w:eastAsia="Calibri" w:hAnsi="Century Gothic" w:cs="Calibri"/>
          <w:color w:val="000000"/>
          <w:sz w:val="24"/>
          <w:szCs w:val="24"/>
        </w:rPr>
        <w:t xml:space="preserve">4 </w:t>
      </w:r>
      <w:r w:rsidRPr="003C0AE3">
        <w:rPr>
          <w:rFonts w:ascii="Century Gothic" w:eastAsia="Calibri" w:hAnsi="Century Gothic" w:cs="Calibri"/>
          <w:color w:val="000000"/>
          <w:sz w:val="24"/>
          <w:szCs w:val="24"/>
        </w:rPr>
        <w:t>servidores), com acesso ao almoxarifado;</w:t>
      </w:r>
    </w:p>
    <w:p w14:paraId="5A1695C8"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e) Transformação da garagem em almoxarifado, com acesso à sala do setor de compras;</w:t>
      </w:r>
    </w:p>
    <w:p w14:paraId="2F7D0913"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3864034">
        <w:rPr>
          <w:rFonts w:ascii="Century Gothic" w:eastAsia="Calibri" w:hAnsi="Century Gothic" w:cs="Calibri"/>
          <w:color w:val="000000" w:themeColor="text1"/>
          <w:sz w:val="24"/>
          <w:szCs w:val="24"/>
        </w:rPr>
        <w:t xml:space="preserve">f) Transformação do gabinete da vereadora </w:t>
      </w:r>
      <w:proofErr w:type="spellStart"/>
      <w:r w:rsidRPr="03864034">
        <w:rPr>
          <w:rFonts w:ascii="Century Gothic" w:eastAsia="Calibri" w:hAnsi="Century Gothic" w:cs="Calibri"/>
          <w:color w:val="000000" w:themeColor="text1"/>
          <w:sz w:val="24"/>
          <w:szCs w:val="24"/>
        </w:rPr>
        <w:t>Edervânia</w:t>
      </w:r>
      <w:proofErr w:type="spellEnd"/>
      <w:r w:rsidRPr="03864034">
        <w:rPr>
          <w:rFonts w:ascii="Century Gothic" w:eastAsia="Calibri" w:hAnsi="Century Gothic" w:cs="Calibri"/>
          <w:color w:val="000000" w:themeColor="text1"/>
          <w:sz w:val="24"/>
          <w:szCs w:val="24"/>
        </w:rPr>
        <w:t xml:space="preserve"> Malta em sala da Procuradoria Jurídica (1 servidor);</w:t>
      </w:r>
    </w:p>
    <w:p w14:paraId="6AD1FB8F"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g) Transformação da sala do CPD e do gabinete da vereadora Tânia em sala da Tecnologia da Informação, com isolamento dos equipamentos que necessitam de resfriamento especial;</w:t>
      </w:r>
    </w:p>
    <w:p w14:paraId="14AC9F1A"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h)  Remoção do gabinete do vereador Christoffer </w:t>
      </w:r>
      <w:proofErr w:type="spellStart"/>
      <w:r w:rsidRPr="003C0AE3">
        <w:rPr>
          <w:rFonts w:ascii="Century Gothic" w:eastAsia="Calibri" w:hAnsi="Century Gothic" w:cs="Calibri"/>
          <w:color w:val="000000"/>
          <w:sz w:val="24"/>
          <w:szCs w:val="24"/>
        </w:rPr>
        <w:t>Jamesson</w:t>
      </w:r>
      <w:proofErr w:type="spellEnd"/>
      <w:r w:rsidRPr="003C0AE3">
        <w:rPr>
          <w:rFonts w:ascii="Century Gothic" w:eastAsia="Calibri" w:hAnsi="Century Gothic" w:cs="Calibri"/>
          <w:color w:val="000000"/>
          <w:sz w:val="24"/>
          <w:szCs w:val="24"/>
        </w:rPr>
        <w:t>, com a readequação da porta que ali dá acesso ao Plenário.</w:t>
      </w:r>
    </w:p>
    <w:p w14:paraId="3D606F8E"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lastRenderedPageBreak/>
        <w:t>i) Sala assessoria de comunicação (1 servidor);</w:t>
      </w:r>
    </w:p>
    <w:p w14:paraId="37A45C86"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j) Substituição de todo piso, incluindo copas e sanitários, que atenda </w:t>
      </w:r>
      <w:proofErr w:type="spellStart"/>
      <w:r w:rsidRPr="003C0AE3">
        <w:rPr>
          <w:rFonts w:ascii="Century Gothic" w:eastAsia="Calibri" w:hAnsi="Century Gothic" w:cs="Calibri"/>
          <w:color w:val="000000"/>
          <w:sz w:val="24"/>
          <w:szCs w:val="24"/>
        </w:rPr>
        <w:t>os</w:t>
      </w:r>
      <w:proofErr w:type="spellEnd"/>
      <w:r w:rsidRPr="003C0AE3">
        <w:rPr>
          <w:rFonts w:ascii="Century Gothic" w:eastAsia="Calibri" w:hAnsi="Century Gothic" w:cs="Calibri"/>
          <w:color w:val="000000"/>
          <w:sz w:val="24"/>
          <w:szCs w:val="24"/>
        </w:rPr>
        <w:t xml:space="preserve"> requisitos de resistência a abrasão e menor índice de porosidade;</w:t>
      </w:r>
    </w:p>
    <w:p w14:paraId="377E5486"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k) Substituição das janelas e portas da fachada principal do prédio;</w:t>
      </w:r>
    </w:p>
    <w:p w14:paraId="047D7C57"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l) Pintura de todo o prédio; </w:t>
      </w:r>
    </w:p>
    <w:p w14:paraId="5D17B90C"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m) Reforma do plenário de sessões com a inclusão de uma sala específica onde será usada para se operacionalizar o sistema de som e os equipamentos necessários para as transmissões das sessões</w:t>
      </w:r>
      <w:r>
        <w:rPr>
          <w:rFonts w:ascii="Century Gothic" w:eastAsia="Calibri" w:hAnsi="Century Gothic" w:cs="Calibri"/>
          <w:color w:val="000000"/>
          <w:sz w:val="24"/>
          <w:szCs w:val="24"/>
        </w:rPr>
        <w:t>, bem como apresentar soluções para aumento da capacidade do mesmo seguindo todas as orientações de segurança e de acessibilidade das normas vigentes;</w:t>
      </w:r>
    </w:p>
    <w:p w14:paraId="7222D7F9"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n) Vagas de estacionamento em frente ao prédio destinadas ao público, com vagas de acessibilidade.</w:t>
      </w:r>
    </w:p>
    <w:p w14:paraId="3DC46AC3"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o) Laudo técnico de reforma (NBR16280); </w:t>
      </w:r>
    </w:p>
    <w:p w14:paraId="334085B2"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 xml:space="preserve">p) Substituição do atual forro de PVC por placas de </w:t>
      </w:r>
      <w:proofErr w:type="spellStart"/>
      <w:r>
        <w:rPr>
          <w:rFonts w:ascii="Century Gothic" w:eastAsia="Calibri" w:hAnsi="Century Gothic" w:cs="Calibri"/>
          <w:color w:val="000000"/>
          <w:sz w:val="24"/>
          <w:szCs w:val="24"/>
        </w:rPr>
        <w:t>drywall</w:t>
      </w:r>
      <w:proofErr w:type="spellEnd"/>
      <w:r w:rsidRPr="003C0AE3">
        <w:rPr>
          <w:rFonts w:ascii="Century Gothic" w:eastAsia="Calibri" w:hAnsi="Century Gothic" w:cs="Calibri"/>
          <w:color w:val="000000"/>
          <w:sz w:val="24"/>
          <w:szCs w:val="24"/>
        </w:rPr>
        <w:t xml:space="preserve"> ou materiais similares que proporcionem isolamento térmico e acústico.</w:t>
      </w:r>
    </w:p>
    <w:p w14:paraId="4D55C2BF" w14:textId="77777777" w:rsidR="00A21D6E" w:rsidRPr="003C0AE3" w:rsidRDefault="00A21D6E" w:rsidP="00A21D6E">
      <w:pPr>
        <w:keepNext/>
        <w:keepLines/>
        <w:pBdr>
          <w:top w:val="nil"/>
          <w:left w:val="nil"/>
          <w:bottom w:val="nil"/>
          <w:right w:val="nil"/>
          <w:between w:val="nil"/>
        </w:pBdr>
        <w:tabs>
          <w:tab w:val="left" w:pos="567"/>
        </w:tabs>
        <w:spacing w:line="360" w:lineRule="auto"/>
        <w:ind w:left="993"/>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4.3.4</w:t>
      </w:r>
      <w:r w:rsidRPr="003C0AE3">
        <w:rPr>
          <w:rFonts w:ascii="Century Gothic" w:eastAsia="Calibri" w:hAnsi="Century Gothic" w:cs="Calibri"/>
          <w:color w:val="000000"/>
          <w:sz w:val="24"/>
          <w:szCs w:val="24"/>
        </w:rPr>
        <w:t>.2. Ampliação</w:t>
      </w:r>
      <w:r>
        <w:rPr>
          <w:rFonts w:ascii="Century Gothic" w:eastAsia="Calibri" w:hAnsi="Century Gothic" w:cs="Calibri"/>
          <w:color w:val="000000"/>
          <w:sz w:val="24"/>
          <w:szCs w:val="24"/>
        </w:rPr>
        <w:t xml:space="preserve"> (novo anexo para gabinetes)</w:t>
      </w:r>
      <w:r w:rsidRPr="003C0AE3">
        <w:rPr>
          <w:rFonts w:ascii="Century Gothic" w:eastAsia="Calibri" w:hAnsi="Century Gothic" w:cs="Calibri"/>
          <w:color w:val="000000"/>
          <w:sz w:val="24"/>
          <w:szCs w:val="24"/>
        </w:rPr>
        <w:t>:</w:t>
      </w:r>
    </w:p>
    <w:p w14:paraId="6E1D055B" w14:textId="77777777" w:rsidR="00A21D6E" w:rsidRPr="003C0AE3" w:rsidRDefault="00A21D6E" w:rsidP="00A21D6E">
      <w:pPr>
        <w:keepNext/>
        <w:keepLines/>
        <w:pBdr>
          <w:top w:val="nil"/>
          <w:left w:val="nil"/>
          <w:bottom w:val="nil"/>
          <w:right w:val="nil"/>
          <w:between w:val="nil"/>
        </w:pBdr>
        <w:tabs>
          <w:tab w:val="left" w:pos="567"/>
        </w:tabs>
        <w:spacing w:line="360" w:lineRule="auto"/>
        <w:ind w:left="1134"/>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4.3.4.2.1. </w:t>
      </w:r>
      <w:r w:rsidRPr="003C0AE3">
        <w:rPr>
          <w:rFonts w:ascii="Century Gothic" w:eastAsia="Calibri" w:hAnsi="Century Gothic" w:cs="Calibri"/>
          <w:color w:val="000000"/>
          <w:sz w:val="24"/>
          <w:szCs w:val="24"/>
        </w:rPr>
        <w:t xml:space="preserve">Construção de anexo com 12 (doze) gabinetes, 2 (duas) salas de apoio e </w:t>
      </w:r>
      <w:r>
        <w:rPr>
          <w:rFonts w:ascii="Century Gothic" w:eastAsia="Calibri" w:hAnsi="Century Gothic" w:cs="Calibri"/>
          <w:color w:val="000000"/>
          <w:sz w:val="24"/>
          <w:szCs w:val="24"/>
        </w:rPr>
        <w:t xml:space="preserve">2 </w:t>
      </w:r>
      <w:r w:rsidRPr="003C0AE3">
        <w:rPr>
          <w:rFonts w:ascii="Century Gothic" w:eastAsia="Calibri" w:hAnsi="Century Gothic" w:cs="Calibri"/>
          <w:color w:val="000000"/>
          <w:sz w:val="24"/>
          <w:szCs w:val="24"/>
        </w:rPr>
        <w:t>(dois) banheiros públicos:</w:t>
      </w:r>
    </w:p>
    <w:p w14:paraId="6A636A71"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a) Salas em alvenaria;</w:t>
      </w:r>
    </w:p>
    <w:p w14:paraId="02F770F5" w14:textId="77777777" w:rsidR="00A21D6E"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lastRenderedPageBreak/>
        <w:t>b) Cada gabinete deve ser dividido de forma que haja uma antessala para os assessores e que os vereadores possuam espaço reservado</w:t>
      </w:r>
      <w:r>
        <w:rPr>
          <w:rFonts w:ascii="Century Gothic" w:eastAsia="Calibri" w:hAnsi="Century Gothic" w:cs="Calibri"/>
          <w:color w:val="000000"/>
          <w:sz w:val="24"/>
          <w:szCs w:val="24"/>
        </w:rPr>
        <w:t>, além de um lavabo, estimando-se em até 26 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xml:space="preserve"> para cada gabinete e sala de apoio</w:t>
      </w:r>
      <w:r w:rsidRPr="003C0AE3">
        <w:rPr>
          <w:rFonts w:ascii="Century Gothic" w:eastAsia="Calibri" w:hAnsi="Century Gothic" w:cs="Calibri"/>
          <w:color w:val="000000"/>
          <w:sz w:val="24"/>
          <w:szCs w:val="24"/>
        </w:rPr>
        <w:t>;</w:t>
      </w:r>
    </w:p>
    <w:p w14:paraId="69B51CCD" w14:textId="77777777" w:rsidR="00A21D6E" w:rsidRPr="003C0AE3"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c) As salas de apoio devem ser feitas no mesmo modelo dos gabinetes, de forma que, no futuro, possam ser transformadas nestes, caso necessário;</w:t>
      </w:r>
    </w:p>
    <w:p w14:paraId="641ECE59" w14:textId="77777777" w:rsidR="00A21D6E"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d</w:t>
      </w:r>
      <w:r w:rsidRPr="003C0AE3">
        <w:rPr>
          <w:rFonts w:ascii="Century Gothic" w:eastAsia="Calibri" w:hAnsi="Century Gothic" w:cs="Calibri"/>
          <w:color w:val="000000"/>
          <w:sz w:val="24"/>
          <w:szCs w:val="24"/>
        </w:rPr>
        <w:t>) O anexo a ser construído deve ter acesso coberto ao prédio principal</w:t>
      </w:r>
      <w:r>
        <w:rPr>
          <w:rFonts w:ascii="Century Gothic" w:eastAsia="Calibri" w:hAnsi="Century Gothic" w:cs="Calibri"/>
          <w:color w:val="000000"/>
          <w:sz w:val="24"/>
          <w:szCs w:val="24"/>
        </w:rPr>
        <w:t>;</w:t>
      </w:r>
    </w:p>
    <w:p w14:paraId="0CDF1011" w14:textId="77777777" w:rsidR="00A21D6E" w:rsidRPr="00524D95" w:rsidRDefault="00A21D6E" w:rsidP="00A21D6E">
      <w:pPr>
        <w:keepNext/>
        <w:keepLines/>
        <w:pBdr>
          <w:top w:val="nil"/>
          <w:left w:val="nil"/>
          <w:bottom w:val="nil"/>
          <w:right w:val="nil"/>
          <w:between w:val="nil"/>
        </w:pBdr>
        <w:tabs>
          <w:tab w:val="left" w:pos="567"/>
        </w:tabs>
        <w:spacing w:line="360" w:lineRule="auto"/>
        <w:ind w:left="1276"/>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e) O anexo conter 2 banheiros, de acesso livre para o público visitante, com acessibilidade adequada, estimando-se em até 3 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xml:space="preserve"> cada banheiro.</w:t>
      </w:r>
    </w:p>
    <w:p w14:paraId="64780695" w14:textId="77777777" w:rsidR="00A21D6E" w:rsidRDefault="00A21D6E" w:rsidP="00A21D6E">
      <w:pPr>
        <w:keepNext/>
        <w:keepLines/>
        <w:pBdr>
          <w:top w:val="nil"/>
          <w:left w:val="nil"/>
          <w:bottom w:val="nil"/>
          <w:right w:val="nil"/>
          <w:between w:val="nil"/>
        </w:pBdr>
        <w:tabs>
          <w:tab w:val="left" w:pos="567"/>
        </w:tabs>
        <w:spacing w:line="360" w:lineRule="auto"/>
        <w:ind w:left="1134"/>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4.3.4.2.2. </w:t>
      </w:r>
      <w:r w:rsidRPr="003C0AE3">
        <w:rPr>
          <w:rFonts w:ascii="Century Gothic" w:eastAsia="Calibri" w:hAnsi="Century Gothic" w:cs="Calibri"/>
          <w:color w:val="000000"/>
          <w:sz w:val="24"/>
          <w:szCs w:val="24"/>
        </w:rPr>
        <w:t xml:space="preserve">Construção de </w:t>
      </w:r>
      <w:r>
        <w:rPr>
          <w:rFonts w:ascii="Century Gothic" w:eastAsia="Calibri" w:hAnsi="Century Gothic" w:cs="Calibri"/>
          <w:color w:val="000000"/>
          <w:sz w:val="24"/>
          <w:szCs w:val="24"/>
        </w:rPr>
        <w:t>uma</w:t>
      </w:r>
      <w:r w:rsidRPr="003C0AE3">
        <w:rPr>
          <w:rFonts w:ascii="Century Gothic" w:eastAsia="Calibri" w:hAnsi="Century Gothic" w:cs="Calibri"/>
          <w:color w:val="000000"/>
          <w:sz w:val="24"/>
          <w:szCs w:val="24"/>
        </w:rPr>
        <w:t xml:space="preserve"> dispensa e uma sala da zeladoria, </w:t>
      </w:r>
      <w:r>
        <w:rPr>
          <w:rFonts w:ascii="Century Gothic" w:eastAsia="Calibri" w:hAnsi="Century Gothic" w:cs="Calibri"/>
          <w:color w:val="000000"/>
          <w:sz w:val="24"/>
          <w:szCs w:val="24"/>
        </w:rPr>
        <w:t>estimando - se em até 15 m</w:t>
      </w:r>
      <w:r>
        <w:rPr>
          <w:rFonts w:ascii="Century Gothic" w:eastAsia="Calibri" w:hAnsi="Century Gothic" w:cs="Calibri"/>
          <w:color w:val="000000"/>
          <w:sz w:val="24"/>
          <w:szCs w:val="24"/>
          <w:vertAlign w:val="superscript"/>
        </w:rPr>
        <w:t xml:space="preserve">2 </w:t>
      </w:r>
      <w:r>
        <w:rPr>
          <w:rFonts w:ascii="Century Gothic" w:eastAsia="Calibri" w:hAnsi="Century Gothic" w:cs="Calibri"/>
          <w:color w:val="000000"/>
          <w:sz w:val="24"/>
          <w:szCs w:val="24"/>
        </w:rPr>
        <w:t>para cada sala</w:t>
      </w:r>
      <w:r w:rsidRPr="003C0AE3">
        <w:rPr>
          <w:rFonts w:ascii="Century Gothic" w:eastAsia="Calibri" w:hAnsi="Century Gothic" w:cs="Calibri"/>
          <w:color w:val="000000"/>
          <w:sz w:val="24"/>
          <w:szCs w:val="24"/>
        </w:rPr>
        <w:t>.</w:t>
      </w:r>
    </w:p>
    <w:p w14:paraId="6BA17AFC" w14:textId="77777777" w:rsidR="00A21D6E" w:rsidRPr="009E265F"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4.3.5. Os demais projetos complementares deverão ser elaborados tanto para área a ser reformada (846 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quanto para a o novo anexo a ser construído (400m</w:t>
      </w:r>
      <w:r>
        <w:rPr>
          <w:rFonts w:ascii="Century Gothic" w:eastAsia="Calibri" w:hAnsi="Century Gothic" w:cs="Calibri"/>
          <w:color w:val="000000"/>
          <w:sz w:val="24"/>
          <w:szCs w:val="24"/>
          <w:vertAlign w:val="superscript"/>
        </w:rPr>
        <w:t>2</w:t>
      </w:r>
      <w:r>
        <w:rPr>
          <w:rFonts w:ascii="Century Gothic" w:eastAsia="Calibri" w:hAnsi="Century Gothic" w:cs="Calibri"/>
          <w:color w:val="000000"/>
          <w:sz w:val="24"/>
          <w:szCs w:val="24"/>
        </w:rPr>
        <w:t>), com as especificações usuais aplicáveis.</w:t>
      </w:r>
    </w:p>
    <w:p w14:paraId="2CF8153A" w14:textId="77777777" w:rsidR="00A21D6E" w:rsidRPr="003C0AE3"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sidRPr="003C0AE3">
        <w:rPr>
          <w:rFonts w:ascii="Century Gothic" w:eastAsia="Calibri" w:hAnsi="Century Gothic" w:cs="Calibri"/>
          <w:color w:val="000000"/>
          <w:sz w:val="24"/>
          <w:szCs w:val="24"/>
        </w:rPr>
        <w:t>4</w:t>
      </w:r>
      <w:r>
        <w:rPr>
          <w:rFonts w:ascii="Century Gothic" w:eastAsia="Calibri" w:hAnsi="Century Gothic" w:cs="Calibri"/>
          <w:color w:val="000000"/>
          <w:sz w:val="24"/>
          <w:szCs w:val="24"/>
        </w:rPr>
        <w:t>.4</w:t>
      </w:r>
      <w:r w:rsidRPr="003C0AE3">
        <w:rPr>
          <w:rFonts w:ascii="Century Gothic" w:eastAsia="Calibri" w:hAnsi="Century Gothic" w:cs="Calibri"/>
          <w:color w:val="000000"/>
          <w:sz w:val="24"/>
          <w:szCs w:val="24"/>
        </w:rPr>
        <w:t>. Acessibilidade:</w:t>
      </w:r>
    </w:p>
    <w:p w14:paraId="44531954"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4.4</w:t>
      </w:r>
      <w:r w:rsidRPr="003C0AE3">
        <w:rPr>
          <w:rFonts w:ascii="Century Gothic" w:eastAsia="Calibri" w:hAnsi="Century Gothic" w:cs="Calibri"/>
          <w:color w:val="000000"/>
          <w:sz w:val="24"/>
          <w:szCs w:val="24"/>
        </w:rPr>
        <w:t>.1. Readequação do prédio principal, com as intervenções necessárias para cumprimento integral do relatório circunstanciado encaminhado pelo Ministério Público no bojo do Processo Administrativo nº 1/2015</w:t>
      </w:r>
      <w:r>
        <w:rPr>
          <w:rFonts w:ascii="Century Gothic" w:eastAsia="Calibri" w:hAnsi="Century Gothic" w:cs="Calibri"/>
          <w:color w:val="000000"/>
          <w:sz w:val="24"/>
          <w:szCs w:val="24"/>
        </w:rPr>
        <w:t xml:space="preserve"> (em anexo)</w:t>
      </w:r>
      <w:r w:rsidRPr="003C0AE3">
        <w:rPr>
          <w:rFonts w:ascii="Century Gothic" w:eastAsia="Calibri" w:hAnsi="Century Gothic" w:cs="Calibri"/>
          <w:color w:val="000000"/>
          <w:sz w:val="24"/>
          <w:szCs w:val="24"/>
        </w:rPr>
        <w:t>.</w:t>
      </w:r>
    </w:p>
    <w:p w14:paraId="42FF7B64"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4.4</w:t>
      </w:r>
      <w:r w:rsidRPr="003C0AE3">
        <w:rPr>
          <w:rFonts w:ascii="Century Gothic" w:eastAsia="Calibri" w:hAnsi="Century Gothic" w:cs="Calibri"/>
          <w:color w:val="000000"/>
          <w:sz w:val="24"/>
          <w:szCs w:val="24"/>
        </w:rPr>
        <w:t>.2. Adequação do novo anexo e salas às normas de acessibilidade;</w:t>
      </w:r>
    </w:p>
    <w:p w14:paraId="5E2D76EE" w14:textId="77777777" w:rsidR="00A21D6E" w:rsidRPr="00111B70"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themeColor="text1"/>
          <w:sz w:val="24"/>
          <w:szCs w:val="24"/>
        </w:rPr>
      </w:pPr>
      <w:r w:rsidRPr="1B79C804">
        <w:rPr>
          <w:rFonts w:ascii="Century Gothic" w:eastAsia="Calibri" w:hAnsi="Century Gothic" w:cs="Calibri"/>
          <w:color w:val="000000" w:themeColor="text1"/>
          <w:sz w:val="24"/>
          <w:szCs w:val="24"/>
        </w:rPr>
        <w:lastRenderedPageBreak/>
        <w:t xml:space="preserve">4.4.3. </w:t>
      </w:r>
      <w:r>
        <w:rPr>
          <w:rFonts w:ascii="Century Gothic" w:eastAsia="Calibri" w:hAnsi="Century Gothic" w:cs="Calibri"/>
          <w:color w:val="000000" w:themeColor="text1"/>
          <w:sz w:val="24"/>
          <w:szCs w:val="24"/>
        </w:rPr>
        <w:t>O projeto arquitetônico, tanto do novo anexo quanto do atual prédio (</w:t>
      </w:r>
      <w:r>
        <w:rPr>
          <w:rFonts w:ascii="Century Gothic" w:eastAsia="Calibri" w:hAnsi="Century Gothic" w:cs="Calibri"/>
          <w:i/>
          <w:iCs/>
          <w:color w:val="000000" w:themeColor="text1"/>
          <w:sz w:val="24"/>
          <w:szCs w:val="24"/>
        </w:rPr>
        <w:t xml:space="preserve">as </w:t>
      </w:r>
      <w:proofErr w:type="spellStart"/>
      <w:r>
        <w:rPr>
          <w:rFonts w:ascii="Century Gothic" w:eastAsia="Calibri" w:hAnsi="Century Gothic" w:cs="Calibri"/>
          <w:i/>
          <w:iCs/>
          <w:color w:val="000000" w:themeColor="text1"/>
          <w:sz w:val="24"/>
          <w:szCs w:val="24"/>
        </w:rPr>
        <w:t>built</w:t>
      </w:r>
      <w:proofErr w:type="spellEnd"/>
      <w:r>
        <w:rPr>
          <w:rFonts w:ascii="Century Gothic" w:eastAsia="Calibri" w:hAnsi="Century Gothic" w:cs="Calibri"/>
          <w:color w:val="000000" w:themeColor="text1"/>
          <w:sz w:val="24"/>
          <w:szCs w:val="24"/>
        </w:rPr>
        <w:t xml:space="preserve">), deve atender às exigências da NBR nº 9.050, tendo em vista o </w:t>
      </w:r>
      <w:r w:rsidRPr="00111B70">
        <w:rPr>
          <w:rFonts w:ascii="Century Gothic" w:eastAsia="Calibri" w:hAnsi="Century Gothic" w:cs="Calibri"/>
          <w:color w:val="000000" w:themeColor="text1"/>
          <w:sz w:val="24"/>
          <w:szCs w:val="24"/>
        </w:rPr>
        <w:t>relatório circunstanciado encaminhado pelo Ministério Público no bojo do Processo Administrativo nº 1/2015 (em anexo).</w:t>
      </w:r>
    </w:p>
    <w:p w14:paraId="11386CDE"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sidRPr="1B79C804">
        <w:rPr>
          <w:rFonts w:ascii="Century Gothic" w:eastAsia="Calibri" w:hAnsi="Century Gothic" w:cs="Calibri"/>
          <w:color w:val="000000" w:themeColor="text1"/>
          <w:sz w:val="24"/>
          <w:szCs w:val="24"/>
        </w:rPr>
        <w:t>4.5. Estacionamento:</w:t>
      </w:r>
    </w:p>
    <w:p w14:paraId="3CB54369"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4.5</w:t>
      </w:r>
      <w:r w:rsidRPr="003C0AE3">
        <w:rPr>
          <w:rFonts w:ascii="Century Gothic" w:eastAsia="Calibri" w:hAnsi="Century Gothic" w:cs="Calibri"/>
          <w:color w:val="000000"/>
          <w:sz w:val="24"/>
          <w:szCs w:val="24"/>
        </w:rPr>
        <w:t xml:space="preserve">.1. Estacionamento </w:t>
      </w:r>
      <w:r>
        <w:rPr>
          <w:rFonts w:ascii="Century Gothic" w:eastAsia="Calibri" w:hAnsi="Century Gothic" w:cs="Calibri"/>
          <w:color w:val="000000"/>
          <w:sz w:val="24"/>
          <w:szCs w:val="24"/>
        </w:rPr>
        <w:t xml:space="preserve">interno </w:t>
      </w:r>
      <w:r w:rsidRPr="003C0AE3">
        <w:rPr>
          <w:rFonts w:ascii="Century Gothic" w:eastAsia="Calibri" w:hAnsi="Century Gothic" w:cs="Calibri"/>
          <w:color w:val="000000"/>
          <w:sz w:val="24"/>
          <w:szCs w:val="24"/>
        </w:rPr>
        <w:t>coberto</w:t>
      </w:r>
      <w:r>
        <w:rPr>
          <w:rFonts w:ascii="Century Gothic" w:eastAsia="Calibri" w:hAnsi="Century Gothic" w:cs="Calibri"/>
          <w:color w:val="000000"/>
          <w:sz w:val="24"/>
          <w:szCs w:val="24"/>
        </w:rPr>
        <w:t>, preferencialmente</w:t>
      </w:r>
      <w:r w:rsidRPr="003C0AE3">
        <w:rPr>
          <w:rFonts w:ascii="Century Gothic" w:eastAsia="Calibri" w:hAnsi="Century Gothic" w:cs="Calibri"/>
          <w:color w:val="000000"/>
          <w:sz w:val="24"/>
          <w:szCs w:val="24"/>
        </w:rPr>
        <w:t xml:space="preserve"> com placas fotovoltaicas</w:t>
      </w:r>
      <w:r>
        <w:rPr>
          <w:rFonts w:ascii="Century Gothic" w:eastAsia="Calibri" w:hAnsi="Century Gothic" w:cs="Calibri"/>
          <w:color w:val="000000"/>
          <w:sz w:val="24"/>
          <w:szCs w:val="24"/>
        </w:rPr>
        <w:t>,</w:t>
      </w:r>
      <w:r w:rsidRPr="003C0AE3">
        <w:rPr>
          <w:rFonts w:ascii="Century Gothic" w:eastAsia="Calibri" w:hAnsi="Century Gothic" w:cs="Calibri"/>
          <w:color w:val="000000"/>
          <w:sz w:val="24"/>
          <w:szCs w:val="24"/>
        </w:rPr>
        <w:t xml:space="preserve"> com </w:t>
      </w:r>
      <w:r>
        <w:rPr>
          <w:rFonts w:ascii="Century Gothic" w:eastAsia="Calibri" w:hAnsi="Century Gothic" w:cs="Calibri"/>
          <w:color w:val="000000"/>
          <w:sz w:val="24"/>
          <w:szCs w:val="24"/>
        </w:rPr>
        <w:t>30</w:t>
      </w:r>
      <w:r w:rsidRPr="003C0AE3">
        <w:rPr>
          <w:rFonts w:ascii="Century Gothic" w:eastAsia="Calibri" w:hAnsi="Century Gothic" w:cs="Calibri"/>
          <w:color w:val="000000"/>
          <w:sz w:val="24"/>
          <w:szCs w:val="24"/>
        </w:rPr>
        <w:t xml:space="preserve"> (</w:t>
      </w:r>
      <w:r>
        <w:rPr>
          <w:rFonts w:ascii="Century Gothic" w:eastAsia="Calibri" w:hAnsi="Century Gothic" w:cs="Calibri"/>
          <w:color w:val="000000"/>
          <w:sz w:val="24"/>
          <w:szCs w:val="24"/>
        </w:rPr>
        <w:t>trinta</w:t>
      </w:r>
      <w:r w:rsidRPr="003C0AE3">
        <w:rPr>
          <w:rFonts w:ascii="Century Gothic" w:eastAsia="Calibri" w:hAnsi="Century Gothic" w:cs="Calibri"/>
          <w:color w:val="000000"/>
          <w:sz w:val="24"/>
          <w:szCs w:val="24"/>
        </w:rPr>
        <w:t>) vagas</w:t>
      </w:r>
      <w:r>
        <w:rPr>
          <w:rFonts w:ascii="Century Gothic" w:eastAsia="Calibri" w:hAnsi="Century Gothic" w:cs="Calibri"/>
          <w:color w:val="000000"/>
          <w:sz w:val="24"/>
          <w:szCs w:val="24"/>
        </w:rPr>
        <w:t>, com aproximadamente 10 m</w:t>
      </w:r>
      <w:r>
        <w:rPr>
          <w:rFonts w:ascii="Century Gothic" w:eastAsia="Calibri" w:hAnsi="Century Gothic" w:cs="Calibri"/>
          <w:color w:val="000000"/>
          <w:sz w:val="24"/>
          <w:szCs w:val="24"/>
          <w:vertAlign w:val="superscript"/>
        </w:rPr>
        <w:t xml:space="preserve">2 </w:t>
      </w:r>
      <w:r>
        <w:rPr>
          <w:rFonts w:ascii="Century Gothic" w:eastAsia="Calibri" w:hAnsi="Century Gothic" w:cs="Calibri"/>
          <w:color w:val="000000"/>
          <w:sz w:val="24"/>
          <w:szCs w:val="24"/>
        </w:rPr>
        <w:t>cada uma, calçado e demarcado, com vagas reservadas para garantir os direitos de acessibilidade e mobilidade</w:t>
      </w:r>
      <w:r w:rsidRPr="003C0AE3">
        <w:rPr>
          <w:rFonts w:ascii="Century Gothic" w:eastAsia="Calibri" w:hAnsi="Century Gothic" w:cs="Calibri"/>
          <w:color w:val="000000"/>
          <w:sz w:val="24"/>
          <w:szCs w:val="24"/>
        </w:rPr>
        <w:t>;</w:t>
      </w:r>
    </w:p>
    <w:p w14:paraId="10E7E6EB" w14:textId="77777777" w:rsidR="00A21D6E"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4.5</w:t>
      </w:r>
      <w:r w:rsidRPr="003C0AE3">
        <w:rPr>
          <w:rFonts w:ascii="Century Gothic" w:eastAsia="Calibri" w:hAnsi="Century Gothic" w:cs="Calibri"/>
          <w:color w:val="000000"/>
          <w:sz w:val="24"/>
          <w:szCs w:val="24"/>
        </w:rPr>
        <w:t xml:space="preserve">.2. </w:t>
      </w:r>
      <w:r>
        <w:rPr>
          <w:rFonts w:ascii="Century Gothic" w:eastAsia="Calibri" w:hAnsi="Century Gothic" w:cs="Calibri"/>
          <w:color w:val="000000"/>
          <w:sz w:val="24"/>
          <w:szCs w:val="24"/>
        </w:rPr>
        <w:t>Estacionamento externo, com 10 (dez) vagas, com rebaixamento da guia da calçada e marcação horizontal, atendendo as regras de acessibilidade e mobilidade;</w:t>
      </w:r>
    </w:p>
    <w:p w14:paraId="2B927BB2" w14:textId="77777777" w:rsidR="00A21D6E" w:rsidRPr="003C0AE3" w:rsidRDefault="00A21D6E" w:rsidP="00A21D6E">
      <w:pPr>
        <w:keepNext/>
        <w:keepLines/>
        <w:pBdr>
          <w:top w:val="nil"/>
          <w:left w:val="nil"/>
          <w:bottom w:val="nil"/>
          <w:right w:val="nil"/>
          <w:between w:val="nil"/>
        </w:pBdr>
        <w:tabs>
          <w:tab w:val="left" w:pos="567"/>
        </w:tabs>
        <w:spacing w:line="360" w:lineRule="auto"/>
        <w:ind w:firstLine="709"/>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4.5.3 </w:t>
      </w:r>
      <w:r w:rsidRPr="003C0AE3">
        <w:rPr>
          <w:rFonts w:ascii="Century Gothic" w:eastAsia="Calibri" w:hAnsi="Century Gothic" w:cs="Calibri"/>
          <w:color w:val="000000"/>
          <w:sz w:val="24"/>
          <w:szCs w:val="24"/>
        </w:rPr>
        <w:t>Vagas reservadas, identificadas e adaptadas para cumprimento das regras de acessibilidade.</w:t>
      </w:r>
    </w:p>
    <w:p w14:paraId="2DA02997" w14:textId="77777777" w:rsidR="00A21D6E" w:rsidRPr="0030201E" w:rsidRDefault="00A21D6E" w:rsidP="00A21D6E">
      <w:pPr>
        <w:keepNext/>
        <w:keepLines/>
        <w:pBdr>
          <w:top w:val="nil"/>
          <w:left w:val="nil"/>
          <w:bottom w:val="nil"/>
          <w:right w:val="nil"/>
          <w:between w:val="nil"/>
        </w:pBdr>
        <w:tabs>
          <w:tab w:val="left" w:pos="567"/>
        </w:tabs>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4.6. A fiscalização </w:t>
      </w:r>
      <w:r w:rsidRPr="0030201E">
        <w:rPr>
          <w:rFonts w:ascii="Century Gothic" w:eastAsia="Calibri" w:hAnsi="Century Gothic" w:cs="Calibri"/>
          <w:color w:val="000000"/>
          <w:sz w:val="24"/>
          <w:szCs w:val="24"/>
        </w:rPr>
        <w:t xml:space="preserve">deverá ser feita por profissional da área (engenheiro ou arquiteto), com presença </w:t>
      </w:r>
      <w:r w:rsidRPr="0030201E">
        <w:rPr>
          <w:rFonts w:ascii="Century Gothic" w:eastAsia="Calibri" w:hAnsi="Century Gothic" w:cs="Calibri"/>
          <w:i/>
          <w:iCs/>
          <w:color w:val="000000"/>
          <w:sz w:val="24"/>
          <w:szCs w:val="24"/>
        </w:rPr>
        <w:t xml:space="preserve">in loco </w:t>
      </w:r>
      <w:r w:rsidRPr="0030201E">
        <w:rPr>
          <w:rFonts w:ascii="Century Gothic" w:eastAsia="Calibri" w:hAnsi="Century Gothic" w:cs="Calibri"/>
          <w:color w:val="000000"/>
          <w:sz w:val="24"/>
          <w:szCs w:val="24"/>
        </w:rPr>
        <w:t>pelo menos uma vez em cada etapa de execução</w:t>
      </w:r>
      <w:r>
        <w:rPr>
          <w:rFonts w:ascii="Century Gothic" w:eastAsia="Calibri" w:hAnsi="Century Gothic" w:cs="Calibri"/>
          <w:color w:val="000000"/>
          <w:sz w:val="24"/>
          <w:szCs w:val="24"/>
        </w:rPr>
        <w:t xml:space="preserve"> e sempre que for solicitado</w:t>
      </w:r>
      <w:r w:rsidRPr="0030201E">
        <w:rPr>
          <w:rFonts w:ascii="Century Gothic" w:eastAsia="Calibri" w:hAnsi="Century Gothic" w:cs="Calibri"/>
          <w:color w:val="000000"/>
          <w:sz w:val="24"/>
          <w:szCs w:val="24"/>
        </w:rPr>
        <w:t>, até a entrega definitiva do objeto, com a apresentação de relatórios ao final de cada etapa e sempre que solicitado.</w:t>
      </w:r>
    </w:p>
    <w:p w14:paraId="74685C18"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4.7. A Contratação deve atender ao descritivo referido no item 1, podendo ser indicado modelos e referências ao fornecedor.</w:t>
      </w:r>
    </w:p>
    <w:p w14:paraId="62A2078B"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4.8. Não se admite subcontratação. </w:t>
      </w:r>
    </w:p>
    <w:p w14:paraId="7D083F07"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4.9. </w:t>
      </w:r>
      <w:r w:rsidRPr="00FB4FDE">
        <w:rPr>
          <w:rFonts w:ascii="Century Gothic" w:eastAsia="Calibri" w:hAnsi="Century Gothic" w:cs="Calibri"/>
          <w:color w:val="000000"/>
          <w:sz w:val="24"/>
          <w:szCs w:val="24"/>
        </w:rPr>
        <w:t xml:space="preserve">Não haverá exigência da garantia da contratação dos </w:t>
      </w:r>
      <w:proofErr w:type="spellStart"/>
      <w:r w:rsidRPr="00FB4FDE">
        <w:rPr>
          <w:rFonts w:ascii="Century Gothic" w:eastAsia="Calibri" w:hAnsi="Century Gothic" w:cs="Calibri"/>
          <w:color w:val="000000"/>
          <w:sz w:val="24"/>
          <w:szCs w:val="24"/>
        </w:rPr>
        <w:t>arts</w:t>
      </w:r>
      <w:proofErr w:type="spellEnd"/>
      <w:r w:rsidRPr="00FB4FDE">
        <w:rPr>
          <w:rFonts w:ascii="Century Gothic" w:eastAsia="Calibri" w:hAnsi="Century Gothic" w:cs="Calibri"/>
          <w:color w:val="000000"/>
          <w:sz w:val="24"/>
          <w:szCs w:val="24"/>
        </w:rPr>
        <w:t>. 96 e seguintes da Lei nº 14.133/21</w:t>
      </w:r>
      <w:r>
        <w:rPr>
          <w:rFonts w:ascii="Century Gothic" w:eastAsia="Calibri" w:hAnsi="Century Gothic" w:cs="Calibri"/>
          <w:color w:val="000000"/>
          <w:sz w:val="24"/>
          <w:szCs w:val="24"/>
        </w:rPr>
        <w:t>.</w:t>
      </w:r>
    </w:p>
    <w:p w14:paraId="4066E016"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4.10. N</w:t>
      </w:r>
      <w:r w:rsidRPr="00475CE0">
        <w:rPr>
          <w:rFonts w:ascii="Century Gothic" w:eastAsia="Calibri" w:hAnsi="Century Gothic" w:cs="Calibri"/>
          <w:color w:val="000000"/>
          <w:sz w:val="24"/>
          <w:szCs w:val="24"/>
        </w:rPr>
        <w:t>ão serão exigidas amostras para os bens objetos da licitação</w:t>
      </w:r>
      <w:r>
        <w:rPr>
          <w:rFonts w:ascii="Century Gothic" w:eastAsia="Calibri" w:hAnsi="Century Gothic" w:cs="Calibri"/>
          <w:color w:val="000000"/>
          <w:sz w:val="24"/>
          <w:szCs w:val="24"/>
        </w:rPr>
        <w:t>.</w:t>
      </w:r>
    </w:p>
    <w:p w14:paraId="45AF7F3D" w14:textId="77777777" w:rsidR="00A21D6E" w:rsidRDefault="00A21D6E" w:rsidP="00A21D6E">
      <w:pPr>
        <w:keepNext/>
        <w:keepLines/>
        <w:pBdr>
          <w:top w:val="nil"/>
          <w:left w:val="nil"/>
          <w:bottom w:val="nil"/>
          <w:right w:val="nil"/>
          <w:between w:val="nil"/>
        </w:pBdr>
        <w:tabs>
          <w:tab w:val="left" w:pos="567"/>
        </w:tabs>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4.11. N</w:t>
      </w:r>
      <w:r w:rsidRPr="007972B0">
        <w:rPr>
          <w:rFonts w:ascii="Century Gothic" w:eastAsia="Calibri" w:hAnsi="Century Gothic" w:cs="Calibri"/>
          <w:color w:val="000000"/>
          <w:sz w:val="24"/>
          <w:szCs w:val="24"/>
        </w:rPr>
        <w:t>ão será exigida carta de solidariedade emitida pelo fabricante</w:t>
      </w:r>
      <w:r>
        <w:rPr>
          <w:rFonts w:ascii="Century Gothic" w:eastAsia="Calibri" w:hAnsi="Century Gothic" w:cs="Calibri"/>
          <w:color w:val="000000"/>
          <w:sz w:val="24"/>
          <w:szCs w:val="24"/>
        </w:rPr>
        <w:t>.</w:t>
      </w:r>
    </w:p>
    <w:p w14:paraId="78B1196E" w14:textId="77777777" w:rsidR="00A21D6E" w:rsidRPr="00AE0CC8" w:rsidRDefault="00A21D6E" w:rsidP="00A21D6E">
      <w:pPr>
        <w:keepNext/>
        <w:keepLines/>
        <w:numPr>
          <w:ilvl w:val="0"/>
          <w:numId w:val="1"/>
        </w:numPr>
        <w:pBdr>
          <w:top w:val="nil"/>
          <w:left w:val="nil"/>
          <w:bottom w:val="nil"/>
          <w:right w:val="nil"/>
          <w:between w:val="nil"/>
        </w:pBdr>
        <w:shd w:val="clear" w:color="auto" w:fill="BFBFBF"/>
        <w:tabs>
          <w:tab w:val="left" w:pos="567"/>
        </w:tabs>
        <w:spacing w:line="360" w:lineRule="auto"/>
        <w:jc w:val="both"/>
        <w:rPr>
          <w:rFonts w:ascii="Century Gothic" w:eastAsia="Calibri" w:hAnsi="Century Gothic" w:cs="Calibri"/>
          <w:color w:val="000000"/>
          <w:sz w:val="24"/>
          <w:szCs w:val="24"/>
        </w:rPr>
      </w:pPr>
      <w:r w:rsidRPr="00FB4FDE">
        <w:rPr>
          <w:rFonts w:ascii="Century Gothic" w:eastAsia="Calibri" w:hAnsi="Century Gothic" w:cs="Calibri"/>
          <w:b/>
          <w:color w:val="000000"/>
          <w:sz w:val="24"/>
          <w:szCs w:val="24"/>
        </w:rPr>
        <w:t>MODELO DE EXECUÇÃO CONTRATUAL (</w:t>
      </w:r>
      <w:proofErr w:type="spellStart"/>
      <w:r w:rsidRPr="00FB4FDE">
        <w:rPr>
          <w:rFonts w:ascii="Century Gothic" w:eastAsia="Calibri" w:hAnsi="Century Gothic" w:cs="Calibri"/>
          <w:b/>
          <w:color w:val="000000"/>
          <w:sz w:val="24"/>
          <w:szCs w:val="24"/>
        </w:rPr>
        <w:t>arts</w:t>
      </w:r>
      <w:proofErr w:type="spellEnd"/>
      <w:r w:rsidRPr="00FB4FDE">
        <w:rPr>
          <w:rFonts w:ascii="Century Gothic" w:eastAsia="Calibri" w:hAnsi="Century Gothic" w:cs="Calibri"/>
          <w:b/>
          <w:color w:val="000000"/>
          <w:sz w:val="24"/>
          <w:szCs w:val="24"/>
        </w:rPr>
        <w:t>. 6º, XXIII, alínea “e” e 40, §1º, inciso II, da Lei nº 14.133/2021)</w:t>
      </w:r>
      <w:r>
        <w:rPr>
          <w:rFonts w:ascii="Century Gothic" w:eastAsia="Calibri" w:hAnsi="Century Gothic" w:cs="Calibri"/>
          <w:b/>
          <w:color w:val="000000"/>
          <w:sz w:val="24"/>
          <w:szCs w:val="24"/>
        </w:rPr>
        <w:t>:</w:t>
      </w:r>
    </w:p>
    <w:p w14:paraId="3D297BBC" w14:textId="77777777" w:rsidR="00A21D6E" w:rsidRPr="00C307E8"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color w:val="000000"/>
          <w:sz w:val="24"/>
          <w:szCs w:val="24"/>
        </w:rPr>
        <w:lastRenderedPageBreak/>
        <w:t>O</w:t>
      </w:r>
      <w:r>
        <w:rPr>
          <w:rFonts w:ascii="Century Gothic" w:eastAsia="Calibri" w:hAnsi="Century Gothic" w:cs="Calibri"/>
          <w:color w:val="000000"/>
          <w:sz w:val="24"/>
          <w:szCs w:val="24"/>
        </w:rPr>
        <w:t xml:space="preserve">s </w:t>
      </w:r>
      <w:r w:rsidRPr="00132944">
        <w:rPr>
          <w:rFonts w:ascii="Century Gothic" w:eastAsia="Calibri" w:hAnsi="Century Gothic" w:cs="Calibri"/>
          <w:color w:val="000000"/>
          <w:sz w:val="24"/>
          <w:szCs w:val="24"/>
        </w:rPr>
        <w:t>prazo</w:t>
      </w:r>
      <w:r>
        <w:rPr>
          <w:rFonts w:ascii="Century Gothic" w:eastAsia="Calibri" w:hAnsi="Century Gothic" w:cs="Calibri"/>
          <w:color w:val="000000"/>
          <w:sz w:val="24"/>
          <w:szCs w:val="24"/>
        </w:rPr>
        <w:t>s</w:t>
      </w:r>
      <w:r w:rsidRPr="00132944">
        <w:rPr>
          <w:rFonts w:ascii="Century Gothic" w:eastAsia="Calibri" w:hAnsi="Century Gothic" w:cs="Calibri"/>
          <w:color w:val="000000"/>
          <w:sz w:val="24"/>
          <w:szCs w:val="24"/>
        </w:rPr>
        <w:t xml:space="preserve"> </w:t>
      </w:r>
      <w:r>
        <w:rPr>
          <w:rFonts w:ascii="Century Gothic" w:eastAsia="Calibri" w:hAnsi="Century Gothic" w:cs="Calibri"/>
          <w:color w:val="000000"/>
          <w:sz w:val="24"/>
          <w:szCs w:val="24"/>
        </w:rPr>
        <w:t>para entrega do objeto será de:</w:t>
      </w:r>
    </w:p>
    <w:p w14:paraId="7B7CAEFD"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50 (cinquenta) dias corridos para entrega dos projetos de engenharia, contado da emissão da ordem de serviço. </w:t>
      </w:r>
    </w:p>
    <w:p w14:paraId="79521BFD"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3 (três) dias úteis para realizar a visita necessária à fiscalização da execução.</w:t>
      </w:r>
    </w:p>
    <w:p w14:paraId="5E08B152"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Os projetos deverão ser entregues de forma física e digital, em formato compatível e acessível sem a necessidade de programas informáticos específicos.</w:t>
      </w:r>
      <w:r w:rsidRPr="00132944">
        <w:rPr>
          <w:rFonts w:ascii="Century Gothic" w:eastAsia="Calibri" w:hAnsi="Century Gothic" w:cs="Calibri"/>
          <w:sz w:val="24"/>
          <w:szCs w:val="24"/>
        </w:rPr>
        <w:t xml:space="preserve"> </w:t>
      </w:r>
    </w:p>
    <w:p w14:paraId="0E876CBC" w14:textId="77777777" w:rsidR="00A21D6E" w:rsidRPr="00EC48D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A cópia física deve ser protocolada na</w:t>
      </w:r>
      <w:r w:rsidRPr="00132944">
        <w:rPr>
          <w:rFonts w:ascii="Century Gothic" w:eastAsia="Calibri" w:hAnsi="Century Gothic" w:cs="Calibri"/>
          <w:sz w:val="24"/>
          <w:szCs w:val="24"/>
        </w:rPr>
        <w:t xml:space="preserve"> Câmara Municipal de Ribas do Rio Pardo - MS, na R. Marciana Custódio Lemos, 64, Santos Dumont, </w:t>
      </w:r>
      <w:r>
        <w:rPr>
          <w:rFonts w:ascii="Century Gothic" w:eastAsia="Calibri" w:hAnsi="Century Gothic" w:cs="Calibri"/>
          <w:sz w:val="24"/>
          <w:szCs w:val="24"/>
        </w:rPr>
        <w:t xml:space="preserve">no </w:t>
      </w:r>
      <w:r w:rsidRPr="00132944">
        <w:rPr>
          <w:rFonts w:ascii="Century Gothic" w:eastAsia="Calibri" w:hAnsi="Century Gothic" w:cs="Calibri"/>
          <w:sz w:val="24"/>
          <w:szCs w:val="24"/>
        </w:rPr>
        <w:t xml:space="preserve">horário </w:t>
      </w:r>
      <w:r>
        <w:rPr>
          <w:rFonts w:ascii="Century Gothic" w:eastAsia="Calibri" w:hAnsi="Century Gothic" w:cs="Calibri"/>
          <w:sz w:val="24"/>
          <w:szCs w:val="24"/>
        </w:rPr>
        <w:t>entre as</w:t>
      </w:r>
      <w:r w:rsidRPr="00132944">
        <w:rPr>
          <w:rFonts w:ascii="Century Gothic" w:eastAsia="Calibri" w:hAnsi="Century Gothic" w:cs="Calibri"/>
          <w:sz w:val="24"/>
          <w:szCs w:val="24"/>
        </w:rPr>
        <w:t xml:space="preserve"> 08:00 as 12:00</w:t>
      </w:r>
      <w:r>
        <w:rPr>
          <w:rFonts w:ascii="Century Gothic" w:eastAsia="Calibri" w:hAnsi="Century Gothic" w:cs="Calibri"/>
          <w:sz w:val="24"/>
          <w:szCs w:val="24"/>
        </w:rPr>
        <w:t>,</w:t>
      </w:r>
      <w:r w:rsidRPr="00EC48D4">
        <w:rPr>
          <w:spacing w:val="-16"/>
          <w:sz w:val="24"/>
        </w:rPr>
        <w:t xml:space="preserve"> </w:t>
      </w:r>
      <w:r w:rsidRPr="00EC48D4">
        <w:rPr>
          <w:rFonts w:ascii="Century Gothic" w:hAnsi="Century Gothic"/>
          <w:spacing w:val="-16"/>
          <w:sz w:val="24"/>
        </w:rPr>
        <w:t>sendo, para todos os efeitos, considerado recebimento provisório</w:t>
      </w:r>
      <w:r>
        <w:rPr>
          <w:rFonts w:ascii="Century Gothic" w:hAnsi="Century Gothic"/>
          <w:spacing w:val="-16"/>
          <w:sz w:val="24"/>
        </w:rPr>
        <w:t>.</w:t>
      </w:r>
    </w:p>
    <w:p w14:paraId="7C6328E2"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color w:val="000000"/>
          <w:sz w:val="24"/>
          <w:szCs w:val="24"/>
        </w:rPr>
        <w:t xml:space="preserve">Os </w:t>
      </w:r>
      <w:r>
        <w:rPr>
          <w:rFonts w:ascii="Century Gothic" w:eastAsia="Calibri" w:hAnsi="Century Gothic" w:cs="Calibri"/>
          <w:color w:val="000000"/>
          <w:sz w:val="24"/>
          <w:szCs w:val="24"/>
        </w:rPr>
        <w:t>projetos</w:t>
      </w:r>
      <w:r w:rsidRPr="00132944">
        <w:rPr>
          <w:rFonts w:ascii="Century Gothic" w:eastAsia="Calibri" w:hAnsi="Century Gothic" w:cs="Calibri"/>
          <w:color w:val="000000"/>
          <w:sz w:val="24"/>
          <w:szCs w:val="24"/>
        </w:rPr>
        <w:t xml:space="preserve"> serão recebidos </w:t>
      </w:r>
      <w:r w:rsidRPr="00132944">
        <w:rPr>
          <w:rFonts w:ascii="Century Gothic" w:eastAsia="Calibri" w:hAnsi="Century Gothic" w:cs="Calibri"/>
          <w:b/>
          <w:color w:val="000000"/>
          <w:sz w:val="24"/>
          <w:szCs w:val="24"/>
        </w:rPr>
        <w:t>definitivamente</w:t>
      </w:r>
      <w:r w:rsidRPr="00132944">
        <w:rPr>
          <w:rFonts w:ascii="Century Gothic" w:eastAsia="Calibri" w:hAnsi="Century Gothic" w:cs="Calibri"/>
          <w:color w:val="000000"/>
          <w:sz w:val="24"/>
          <w:szCs w:val="24"/>
        </w:rPr>
        <w:t xml:space="preserve"> no prazo de até </w:t>
      </w:r>
      <w:r>
        <w:rPr>
          <w:rFonts w:ascii="Century Gothic" w:eastAsia="Calibri" w:hAnsi="Century Gothic" w:cs="Calibri"/>
          <w:color w:val="000000"/>
          <w:sz w:val="24"/>
          <w:szCs w:val="24"/>
        </w:rPr>
        <w:t>5</w:t>
      </w:r>
      <w:r w:rsidRPr="00132944">
        <w:rPr>
          <w:rFonts w:ascii="Century Gothic" w:eastAsia="Calibri" w:hAnsi="Century Gothic" w:cs="Calibri"/>
          <w:sz w:val="24"/>
          <w:szCs w:val="24"/>
        </w:rPr>
        <w:t xml:space="preserve"> </w:t>
      </w:r>
      <w:r w:rsidRPr="00132944">
        <w:rPr>
          <w:rFonts w:ascii="Century Gothic" w:eastAsia="Calibri" w:hAnsi="Century Gothic" w:cs="Calibri"/>
          <w:color w:val="000000"/>
          <w:sz w:val="24"/>
          <w:szCs w:val="24"/>
        </w:rPr>
        <w:t xml:space="preserve">dias úteis, contado do recebimento provisório, após a verificação da qualidade e quantidade do material e consequente aceitação mediante </w:t>
      </w:r>
      <w:r w:rsidRPr="00132944">
        <w:rPr>
          <w:rFonts w:ascii="Century Gothic" w:eastAsia="Calibri" w:hAnsi="Century Gothic" w:cs="Calibri"/>
          <w:sz w:val="24"/>
          <w:szCs w:val="24"/>
        </w:rPr>
        <w:t xml:space="preserve">“atesto” na nota fiscal/fatura, </w:t>
      </w:r>
      <w:r w:rsidRPr="00132944">
        <w:rPr>
          <w:rFonts w:ascii="Century Gothic" w:eastAsia="Calibri" w:hAnsi="Century Gothic" w:cs="Calibri"/>
          <w:color w:val="000000"/>
          <w:sz w:val="24"/>
          <w:szCs w:val="24"/>
        </w:rPr>
        <w:t xml:space="preserve">circunstanciado pelo </w:t>
      </w:r>
      <w:r w:rsidRPr="00132944">
        <w:rPr>
          <w:rFonts w:ascii="Century Gothic" w:eastAsia="Calibri" w:hAnsi="Century Gothic" w:cs="Calibri"/>
          <w:b/>
          <w:sz w:val="24"/>
          <w:szCs w:val="24"/>
        </w:rPr>
        <w:t xml:space="preserve">RESPONSÁVEL PELO ACOMPANHAMENTO E FISCALIZAÇÃO DO </w:t>
      </w:r>
      <w:r>
        <w:rPr>
          <w:rFonts w:ascii="Century Gothic" w:eastAsia="Calibri" w:hAnsi="Century Gothic" w:cs="Calibri"/>
          <w:b/>
          <w:sz w:val="24"/>
          <w:szCs w:val="24"/>
        </w:rPr>
        <w:t>CONTRATO</w:t>
      </w:r>
      <w:r w:rsidRPr="00132944">
        <w:rPr>
          <w:rFonts w:ascii="Century Gothic" w:eastAsia="Calibri" w:hAnsi="Century Gothic" w:cs="Calibri"/>
          <w:b/>
          <w:sz w:val="24"/>
          <w:szCs w:val="24"/>
        </w:rPr>
        <w:t>.</w:t>
      </w:r>
    </w:p>
    <w:p w14:paraId="032455F9" w14:textId="77777777" w:rsidR="00A21D6E" w:rsidRPr="00AE0CC8" w:rsidRDefault="00A21D6E" w:rsidP="00A21D6E">
      <w:pPr>
        <w:numPr>
          <w:ilvl w:val="2"/>
          <w:numId w:val="1"/>
        </w:numPr>
        <w:spacing w:line="360" w:lineRule="auto"/>
        <w:ind w:left="0" w:firstLine="709"/>
        <w:jc w:val="both"/>
        <w:rPr>
          <w:rFonts w:ascii="Century Gothic" w:eastAsia="Calibri" w:hAnsi="Century Gothic" w:cs="Calibri"/>
          <w:sz w:val="24"/>
          <w:szCs w:val="24"/>
        </w:rPr>
      </w:pPr>
      <w:r w:rsidRPr="00AE0CC8">
        <w:rPr>
          <w:rFonts w:ascii="Century Gothic" w:eastAsia="Calibri" w:hAnsi="Century Gothic" w:cs="Calibri"/>
          <w:color w:val="000000"/>
          <w:sz w:val="24"/>
          <w:szCs w:val="24"/>
        </w:rPr>
        <w:t>Na hipótese de a verificação a que se refere o subitem anterior não ser procedida dentro do prazo fixado, reputar-se-á como realizada, consumando-se o recebimento definitivo no dia do esgotamento do prazo</w:t>
      </w:r>
      <w:r>
        <w:rPr>
          <w:rFonts w:ascii="Century Gothic" w:eastAsia="Calibri" w:hAnsi="Century Gothic" w:cs="Calibri"/>
          <w:color w:val="000000"/>
          <w:sz w:val="24"/>
          <w:szCs w:val="24"/>
        </w:rPr>
        <w:t>, salvo com relação a vício oculto, descoberto posteriormente</w:t>
      </w:r>
      <w:r w:rsidRPr="00AE0CC8">
        <w:rPr>
          <w:rFonts w:ascii="Century Gothic" w:eastAsia="Calibri" w:hAnsi="Century Gothic" w:cs="Calibri"/>
          <w:color w:val="000000"/>
          <w:sz w:val="24"/>
          <w:szCs w:val="24"/>
        </w:rPr>
        <w:t>.</w:t>
      </w:r>
    </w:p>
    <w:p w14:paraId="2402EC47" w14:textId="77777777" w:rsidR="00A21D6E" w:rsidRPr="00AE0CC8" w:rsidRDefault="00A21D6E" w:rsidP="00A21D6E">
      <w:pPr>
        <w:numPr>
          <w:ilvl w:val="1"/>
          <w:numId w:val="1"/>
        </w:numPr>
        <w:tabs>
          <w:tab w:val="left" w:pos="851"/>
        </w:tabs>
        <w:spacing w:line="360" w:lineRule="auto"/>
        <w:ind w:left="0" w:firstLine="0"/>
        <w:jc w:val="both"/>
        <w:rPr>
          <w:rFonts w:ascii="Century Gothic" w:eastAsia="Calibri" w:hAnsi="Century Gothic" w:cs="Calibri"/>
          <w:sz w:val="24"/>
          <w:szCs w:val="24"/>
        </w:rPr>
      </w:pPr>
      <w:r w:rsidRPr="00AE0CC8">
        <w:rPr>
          <w:rFonts w:ascii="Century Gothic" w:eastAsia="Calibri" w:hAnsi="Century Gothic" w:cs="Calibri"/>
          <w:color w:val="000000"/>
          <w:sz w:val="24"/>
          <w:szCs w:val="24"/>
        </w:rPr>
        <w:t>O recebimento provisório ou definitivo do objeto não exclui a responsabilidade da contratada pelos prejuízos resultantes da incorreta execução do contrato.</w:t>
      </w:r>
    </w:p>
    <w:p w14:paraId="1F2F29D4" w14:textId="77777777" w:rsidR="00A21D6E" w:rsidRPr="00132944" w:rsidRDefault="00A21D6E" w:rsidP="00A21D6E">
      <w:pPr>
        <w:numPr>
          <w:ilvl w:val="1"/>
          <w:numId w:val="1"/>
        </w:numPr>
        <w:spacing w:line="360" w:lineRule="auto"/>
        <w:ind w:left="0" w:firstLine="0"/>
        <w:jc w:val="both"/>
        <w:rPr>
          <w:rFonts w:ascii="Century Gothic" w:eastAsia="Calibri" w:hAnsi="Century Gothic" w:cs="Calibri"/>
          <w:sz w:val="24"/>
          <w:szCs w:val="24"/>
        </w:rPr>
      </w:pPr>
      <w:r w:rsidRPr="00AE0CC8">
        <w:rPr>
          <w:rFonts w:ascii="Century Gothic" w:eastAsia="Calibri" w:hAnsi="Century Gothic" w:cs="Calibri"/>
          <w:color w:val="000000"/>
          <w:sz w:val="24"/>
          <w:szCs w:val="24"/>
        </w:rPr>
        <w:t xml:space="preserve"> Os bens/serviços poderão ser rejeitados, no todo ou em parte, quando em desacordo com as especificações constantes neste Termo de Referência </w:t>
      </w:r>
      <w:r w:rsidRPr="00AE0CC8">
        <w:rPr>
          <w:rFonts w:ascii="Century Gothic" w:eastAsia="Calibri" w:hAnsi="Century Gothic" w:cs="Calibri"/>
          <w:color w:val="000000"/>
          <w:sz w:val="24"/>
          <w:szCs w:val="24"/>
        </w:rPr>
        <w:lastRenderedPageBreak/>
        <w:t xml:space="preserve">e na proposta, devendo ser substituídos no prazo </w:t>
      </w:r>
      <w:r w:rsidRPr="00AE0CC8">
        <w:rPr>
          <w:rFonts w:ascii="Century Gothic" w:eastAsia="Calibri" w:hAnsi="Century Gothic" w:cs="Calibri"/>
          <w:sz w:val="24"/>
          <w:szCs w:val="24"/>
        </w:rPr>
        <w:t xml:space="preserve">de </w:t>
      </w:r>
      <w:r>
        <w:rPr>
          <w:rFonts w:ascii="Century Gothic" w:eastAsia="Calibri" w:hAnsi="Century Gothic" w:cs="Calibri"/>
          <w:sz w:val="24"/>
          <w:szCs w:val="24"/>
        </w:rPr>
        <w:t>5</w:t>
      </w:r>
      <w:r w:rsidRPr="00AE0CC8">
        <w:rPr>
          <w:rFonts w:ascii="Century Gothic" w:eastAsia="Calibri" w:hAnsi="Century Gothic" w:cs="Calibri"/>
          <w:sz w:val="24"/>
          <w:szCs w:val="24"/>
        </w:rPr>
        <w:t xml:space="preserve"> dias úteis</w:t>
      </w:r>
      <w:r w:rsidRPr="00AE0CC8">
        <w:rPr>
          <w:rFonts w:ascii="Century Gothic" w:eastAsia="Calibri" w:hAnsi="Century Gothic" w:cs="Calibri"/>
          <w:color w:val="000000"/>
          <w:sz w:val="24"/>
          <w:szCs w:val="24"/>
        </w:rPr>
        <w:t>, a contar da notificação da contratada, às suas custas, sem prejuízo da aplicação das penalidades.</w:t>
      </w:r>
    </w:p>
    <w:p w14:paraId="6F645FD0" w14:textId="77777777" w:rsidR="00A21D6E" w:rsidRPr="00132944" w:rsidRDefault="00A21D6E" w:rsidP="00A21D6E">
      <w:pPr>
        <w:spacing w:line="360" w:lineRule="auto"/>
        <w:jc w:val="both"/>
        <w:rPr>
          <w:rFonts w:ascii="Century Gothic" w:eastAsia="Calibri" w:hAnsi="Century Gothic" w:cs="Calibri"/>
          <w:sz w:val="24"/>
          <w:szCs w:val="24"/>
        </w:rPr>
      </w:pPr>
    </w:p>
    <w:p w14:paraId="78BC986F" w14:textId="77777777" w:rsidR="00A21D6E" w:rsidRPr="00132944" w:rsidRDefault="00A21D6E" w:rsidP="00A21D6E">
      <w:pPr>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132944">
        <w:rPr>
          <w:rFonts w:ascii="Century Gothic" w:eastAsia="Calibri" w:hAnsi="Century Gothic" w:cs="Calibri"/>
          <w:b/>
          <w:bCs/>
          <w:sz w:val="24"/>
          <w:szCs w:val="24"/>
        </w:rPr>
        <w:t>MODELO DE GESTÃO DO CONTRATO (art. 6º, XXIII, alínea “f”, da Lei nº 14.133/21):</w:t>
      </w:r>
    </w:p>
    <w:p w14:paraId="7630CD7C"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O(s) responsável(</w:t>
      </w:r>
      <w:proofErr w:type="spellStart"/>
      <w:r w:rsidRPr="00132944">
        <w:rPr>
          <w:rFonts w:ascii="Century Gothic" w:eastAsia="Calibri" w:hAnsi="Century Gothic" w:cs="Calibri"/>
          <w:sz w:val="24"/>
          <w:szCs w:val="24"/>
        </w:rPr>
        <w:t>is</w:t>
      </w:r>
      <w:proofErr w:type="spellEnd"/>
      <w:r w:rsidRPr="00132944">
        <w:rPr>
          <w:rFonts w:ascii="Century Gothic" w:eastAsia="Calibri" w:hAnsi="Century Gothic" w:cs="Calibri"/>
          <w:sz w:val="24"/>
          <w:szCs w:val="24"/>
        </w:rPr>
        <w:t xml:space="preserve">) pela fiscalização e acompanhamento do </w:t>
      </w:r>
      <w:r w:rsidRPr="003F2172">
        <w:rPr>
          <w:rFonts w:ascii="Century Gothic" w:eastAsia="Calibri" w:hAnsi="Century Gothic" w:cs="Calibri"/>
          <w:sz w:val="24"/>
          <w:szCs w:val="24"/>
        </w:rPr>
        <w:t xml:space="preserve">contrato </w:t>
      </w:r>
      <w:r w:rsidRPr="00132944">
        <w:rPr>
          <w:rFonts w:ascii="Century Gothic" w:eastAsia="Calibri" w:hAnsi="Century Gothic" w:cs="Calibri"/>
          <w:sz w:val="24"/>
          <w:szCs w:val="24"/>
        </w:rPr>
        <w:t xml:space="preserve">é (são) </w:t>
      </w:r>
      <w:r>
        <w:rPr>
          <w:rFonts w:ascii="Century Gothic" w:eastAsia="Calibri" w:hAnsi="Century Gothic" w:cs="Calibri"/>
          <w:sz w:val="24"/>
          <w:szCs w:val="24"/>
        </w:rPr>
        <w:t>José Lucas Arantes de Arruda, servidor ocupante do cargo de almoxarife</w:t>
      </w:r>
      <w:r w:rsidRPr="00132944">
        <w:rPr>
          <w:rFonts w:ascii="Century Gothic" w:eastAsia="Calibri" w:hAnsi="Century Gothic" w:cs="Calibri"/>
          <w:sz w:val="24"/>
          <w:szCs w:val="24"/>
        </w:rPr>
        <w:t xml:space="preserve">, cujo endereço de e-mail </w:t>
      </w:r>
      <w:r>
        <w:rPr>
          <w:rFonts w:ascii="Century Gothic" w:eastAsia="Calibri" w:hAnsi="Century Gothic" w:cs="Calibri"/>
          <w:sz w:val="24"/>
          <w:szCs w:val="24"/>
        </w:rPr>
        <w:t>é</w:t>
      </w:r>
      <w:r w:rsidRPr="00132944">
        <w:rPr>
          <w:rFonts w:ascii="Century Gothic" w:eastAsia="Calibri" w:hAnsi="Century Gothic" w:cs="Calibri"/>
          <w:sz w:val="24"/>
          <w:szCs w:val="24"/>
        </w:rPr>
        <w:t xml:space="preserve">: </w:t>
      </w:r>
      <w:r>
        <w:rPr>
          <w:rFonts w:ascii="Century Gothic" w:eastAsia="Calibri" w:hAnsi="Century Gothic" w:cs="Calibri"/>
          <w:sz w:val="24"/>
          <w:szCs w:val="24"/>
        </w:rPr>
        <w:t>almoxarifado@ribasdoriopardo.ms.leg.br;</w:t>
      </w:r>
    </w:p>
    <w:p w14:paraId="4948154B"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Será anotado em registro próprio todas as ocorrências relacionadas com a execução e determinando o que for necessário à regularização de falhas ou defeitos observados.</w:t>
      </w:r>
    </w:p>
    <w:p w14:paraId="6D65B2D6"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w:t>
      </w:r>
      <w:r w:rsidRPr="00757E6C">
        <w:rPr>
          <w:rFonts w:ascii="Century Gothic" w:eastAsia="Calibri" w:hAnsi="Century Gothic" w:cs="Calibri"/>
          <w:sz w:val="24"/>
          <w:szCs w:val="24"/>
        </w:rPr>
        <w:t>Administração ou de seus agentes e prepostos, de conformidade com o art. art. 120 da Lei nº 14.133/2021.</w:t>
      </w:r>
    </w:p>
    <w:p w14:paraId="718ABEB7" w14:textId="77777777" w:rsidR="00A21D6E" w:rsidRPr="00132944"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132944">
        <w:rPr>
          <w:rFonts w:ascii="Century Gothic" w:eastAsia="Calibri" w:hAnsi="Century Gothic" w:cs="Calibri"/>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2C35FCC" w14:textId="77777777" w:rsidR="00A21D6E" w:rsidRDefault="00A21D6E" w:rsidP="00A21D6E">
      <w:pPr>
        <w:pStyle w:val="PargrafodaLista"/>
        <w:spacing w:line="360" w:lineRule="auto"/>
        <w:ind w:left="0"/>
        <w:jc w:val="both"/>
        <w:rPr>
          <w:rFonts w:ascii="Century Gothic" w:eastAsia="Calibri" w:hAnsi="Century Gothic" w:cs="Calibri"/>
          <w:sz w:val="24"/>
          <w:szCs w:val="24"/>
        </w:rPr>
      </w:pPr>
    </w:p>
    <w:p w14:paraId="4C3F15E9" w14:textId="77777777" w:rsidR="00A21D6E" w:rsidRPr="00477984" w:rsidRDefault="00A21D6E" w:rsidP="00A21D6E">
      <w:pPr>
        <w:pStyle w:val="PargrafodaLista"/>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477984">
        <w:rPr>
          <w:rFonts w:ascii="Century Gothic" w:eastAsia="Calibri" w:hAnsi="Century Gothic" w:cs="Calibri"/>
          <w:b/>
          <w:bCs/>
          <w:sz w:val="24"/>
          <w:szCs w:val="24"/>
        </w:rPr>
        <w:lastRenderedPageBreak/>
        <w:t>CRITÉRIOS DE PAGAMENTO (art. 6º, inciso XXIII, alínea ‘h’, da Lei nº 14.133/2021)</w:t>
      </w:r>
    </w:p>
    <w:p w14:paraId="2B386EC7"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25631E">
        <w:rPr>
          <w:rFonts w:ascii="Century Gothic" w:eastAsia="Calibri" w:hAnsi="Century Gothic" w:cs="Calibri"/>
          <w:b/>
          <w:bCs/>
          <w:sz w:val="24"/>
          <w:szCs w:val="24"/>
        </w:rPr>
        <w:t>PREÇO</w:t>
      </w:r>
      <w:r>
        <w:rPr>
          <w:rFonts w:ascii="Century Gothic" w:eastAsia="Calibri" w:hAnsi="Century Gothic" w:cs="Calibri"/>
          <w:sz w:val="24"/>
          <w:szCs w:val="24"/>
        </w:rPr>
        <w:t>:</w:t>
      </w:r>
    </w:p>
    <w:p w14:paraId="2EFE87AF"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valor total da contratação é de R$.......... (.....) </w:t>
      </w:r>
    </w:p>
    <w:p w14:paraId="75A811AC"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4BBAF02A" w14:textId="77777777" w:rsidR="00A21D6E" w:rsidRPr="0025631E" w:rsidRDefault="00A21D6E" w:rsidP="00A21D6E">
      <w:pPr>
        <w:pStyle w:val="PargrafodaLista"/>
        <w:numPr>
          <w:ilvl w:val="1"/>
          <w:numId w:val="1"/>
        </w:numPr>
        <w:spacing w:line="360" w:lineRule="auto"/>
        <w:ind w:left="0" w:firstLine="0"/>
        <w:jc w:val="both"/>
        <w:rPr>
          <w:rFonts w:ascii="Century Gothic" w:eastAsia="Calibri" w:hAnsi="Century Gothic" w:cs="Calibri"/>
          <w:b/>
          <w:bCs/>
          <w:sz w:val="24"/>
          <w:szCs w:val="24"/>
        </w:rPr>
      </w:pPr>
      <w:r w:rsidRPr="0025631E">
        <w:rPr>
          <w:rFonts w:ascii="Century Gothic" w:eastAsia="Calibri" w:hAnsi="Century Gothic" w:cs="Calibri"/>
          <w:b/>
          <w:bCs/>
          <w:sz w:val="24"/>
          <w:szCs w:val="24"/>
        </w:rPr>
        <w:t>FORMA DE PAGAMENTO:</w:t>
      </w:r>
    </w:p>
    <w:p w14:paraId="5D9C5EB0"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pagamento será realizado através de ordem bancária, para crédito em banco, agência e conta corrente indicados pelo contratado. </w:t>
      </w:r>
    </w:p>
    <w:p w14:paraId="52E96133"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Será considerada data do pagamento o dia em que constar como emitida a ordem bancária para pagamento. </w:t>
      </w:r>
    </w:p>
    <w:p w14:paraId="5E42C482" w14:textId="77777777" w:rsidR="00A21D6E" w:rsidRPr="0025631E" w:rsidRDefault="00A21D6E" w:rsidP="00A21D6E">
      <w:pPr>
        <w:pStyle w:val="PargrafodaLista"/>
        <w:numPr>
          <w:ilvl w:val="1"/>
          <w:numId w:val="1"/>
        </w:numPr>
        <w:spacing w:line="360" w:lineRule="auto"/>
        <w:ind w:left="0" w:firstLine="0"/>
        <w:jc w:val="both"/>
        <w:rPr>
          <w:rFonts w:ascii="Century Gothic" w:eastAsia="Calibri" w:hAnsi="Century Gothic" w:cs="Calibri"/>
          <w:b/>
          <w:bCs/>
          <w:sz w:val="24"/>
          <w:szCs w:val="24"/>
        </w:rPr>
      </w:pPr>
      <w:r w:rsidRPr="0025631E">
        <w:rPr>
          <w:rFonts w:ascii="Century Gothic" w:eastAsia="Calibri" w:hAnsi="Century Gothic" w:cs="Calibri"/>
          <w:b/>
          <w:bCs/>
          <w:sz w:val="24"/>
          <w:szCs w:val="24"/>
        </w:rPr>
        <w:t>PRAZO DE PAGAMENTO:</w:t>
      </w:r>
    </w:p>
    <w:p w14:paraId="4279870B"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pagamento será efetuado no prazo máximo de até 30 (trinta) dias, contados do recebimento da Nota Fiscal/Fatura. </w:t>
      </w:r>
    </w:p>
    <w:p w14:paraId="4B3E8657"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Considera-se ocorrido o recebimento da nota fiscal ou fatura quando o órgão contratante atestar a execução do objeto do contrato. </w:t>
      </w:r>
    </w:p>
    <w:p w14:paraId="38B48D2D"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No caso de atraso pela Contratante, os valores devidos ao contratado serão atualizados monetariamente entre o termo final do prazo de pagamento até a data de sua efetiva realização, mediante aplicação do índice IPCA de correção monetária. </w:t>
      </w:r>
    </w:p>
    <w:p w14:paraId="0198BB76" w14:textId="77777777" w:rsidR="00A21D6E" w:rsidRPr="00477984" w:rsidRDefault="00A21D6E" w:rsidP="00A21D6E">
      <w:pPr>
        <w:pStyle w:val="PargrafodaLista"/>
        <w:numPr>
          <w:ilvl w:val="1"/>
          <w:numId w:val="1"/>
        </w:numPr>
        <w:spacing w:line="360" w:lineRule="auto"/>
        <w:ind w:left="0" w:firstLine="0"/>
        <w:jc w:val="both"/>
        <w:rPr>
          <w:rFonts w:ascii="Century Gothic" w:eastAsia="Calibri" w:hAnsi="Century Gothic" w:cs="Calibri"/>
          <w:b/>
          <w:bCs/>
          <w:sz w:val="24"/>
          <w:szCs w:val="24"/>
        </w:rPr>
      </w:pPr>
      <w:r w:rsidRPr="00477984">
        <w:rPr>
          <w:rFonts w:ascii="Century Gothic" w:eastAsia="Calibri" w:hAnsi="Century Gothic" w:cs="Calibri"/>
          <w:b/>
          <w:bCs/>
          <w:sz w:val="24"/>
          <w:szCs w:val="24"/>
        </w:rPr>
        <w:t>CONDIÇÕES DE PAGAMENTO:</w:t>
      </w:r>
    </w:p>
    <w:p w14:paraId="5B5C559D"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lastRenderedPageBreak/>
        <w:t xml:space="preserve"> A emissão da Nota Fiscal/Fatura será precedida do recebimento definitivo do objeto da contratação, conforme disposto neste instrumento e/ou no Termo de Referência. </w:t>
      </w:r>
    </w:p>
    <w:p w14:paraId="004D4746"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Quando houver glosa parcial do objeto, </w:t>
      </w:r>
      <w:r>
        <w:rPr>
          <w:rFonts w:ascii="Century Gothic" w:eastAsia="Calibri" w:hAnsi="Century Gothic" w:cs="Calibri"/>
          <w:sz w:val="24"/>
          <w:szCs w:val="24"/>
        </w:rPr>
        <w:t>a</w:t>
      </w:r>
      <w:r w:rsidRPr="0025631E">
        <w:rPr>
          <w:rFonts w:ascii="Century Gothic" w:eastAsia="Calibri" w:hAnsi="Century Gothic" w:cs="Calibri"/>
          <w:sz w:val="24"/>
          <w:szCs w:val="24"/>
        </w:rPr>
        <w:t xml:space="preserve"> contratante deverá comunicar a empresa para que emita a nota fiscal ou fatura com o valor exato dimensionado. </w:t>
      </w:r>
    </w:p>
    <w:p w14:paraId="2FB40233"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 xml:space="preserve">O setor competente para proceder o pagamento deve verificar se a Nota Fiscal ou Fatura apresentada expressa os elementos necessários e essenciais do documento, tais como: </w:t>
      </w:r>
    </w:p>
    <w:p w14:paraId="27C53A18" w14:textId="77777777" w:rsidR="00A21D6E" w:rsidRPr="00477984" w:rsidRDefault="00A21D6E" w:rsidP="00A21D6E">
      <w:pPr>
        <w:spacing w:line="360" w:lineRule="auto"/>
        <w:ind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a) o prazo de validade; </w:t>
      </w:r>
    </w:p>
    <w:p w14:paraId="54526B3B" w14:textId="77777777" w:rsidR="00A21D6E" w:rsidRPr="00477984" w:rsidRDefault="00A21D6E" w:rsidP="00A21D6E">
      <w:pPr>
        <w:spacing w:line="360" w:lineRule="auto"/>
        <w:ind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b) a data da emissão; </w:t>
      </w:r>
    </w:p>
    <w:p w14:paraId="78E89F54" w14:textId="77777777" w:rsidR="00A21D6E" w:rsidRPr="00477984" w:rsidRDefault="00A21D6E" w:rsidP="00A21D6E">
      <w:pPr>
        <w:spacing w:line="360" w:lineRule="auto"/>
        <w:ind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c) os dados do contrato e do órgão contratante; </w:t>
      </w:r>
    </w:p>
    <w:p w14:paraId="0F35651C" w14:textId="77777777" w:rsidR="00A21D6E" w:rsidRPr="00477984" w:rsidRDefault="00A21D6E" w:rsidP="00A21D6E">
      <w:pPr>
        <w:spacing w:line="360" w:lineRule="auto"/>
        <w:ind w:firstLine="709"/>
        <w:jc w:val="both"/>
        <w:rPr>
          <w:rFonts w:ascii="Century Gothic" w:eastAsia="Calibri" w:hAnsi="Century Gothic" w:cs="Calibri"/>
          <w:sz w:val="24"/>
          <w:szCs w:val="24"/>
        </w:rPr>
      </w:pPr>
      <w:r>
        <w:rPr>
          <w:rFonts w:ascii="Century Gothic" w:eastAsia="Calibri" w:hAnsi="Century Gothic" w:cs="Calibri"/>
          <w:sz w:val="24"/>
          <w:szCs w:val="24"/>
        </w:rPr>
        <w:t>d</w:t>
      </w:r>
      <w:r w:rsidRPr="00477984">
        <w:rPr>
          <w:rFonts w:ascii="Century Gothic" w:eastAsia="Calibri" w:hAnsi="Century Gothic" w:cs="Calibri"/>
          <w:sz w:val="24"/>
          <w:szCs w:val="24"/>
        </w:rPr>
        <w:t xml:space="preserve">) o valor a pagar; e </w:t>
      </w:r>
    </w:p>
    <w:p w14:paraId="0E74A5F0" w14:textId="77777777" w:rsidR="00A21D6E" w:rsidRPr="00477984" w:rsidRDefault="00A21D6E" w:rsidP="00A21D6E">
      <w:pPr>
        <w:spacing w:line="360" w:lineRule="auto"/>
        <w:ind w:firstLine="709"/>
        <w:jc w:val="both"/>
        <w:rPr>
          <w:rFonts w:ascii="Century Gothic" w:eastAsia="Calibri" w:hAnsi="Century Gothic" w:cs="Calibri"/>
          <w:sz w:val="24"/>
          <w:szCs w:val="24"/>
        </w:rPr>
      </w:pPr>
      <w:r>
        <w:rPr>
          <w:rFonts w:ascii="Century Gothic" w:eastAsia="Calibri" w:hAnsi="Century Gothic" w:cs="Calibri"/>
          <w:sz w:val="24"/>
          <w:szCs w:val="24"/>
        </w:rPr>
        <w:t>e</w:t>
      </w:r>
      <w:r w:rsidRPr="00477984">
        <w:rPr>
          <w:rFonts w:ascii="Century Gothic" w:eastAsia="Calibri" w:hAnsi="Century Gothic" w:cs="Calibri"/>
          <w:sz w:val="24"/>
          <w:szCs w:val="24"/>
        </w:rPr>
        <w:t xml:space="preserve">) eventual destaque do valor de retenções tributárias cabíveis. </w:t>
      </w:r>
    </w:p>
    <w:p w14:paraId="2C0E9598"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25631E">
        <w:rPr>
          <w:rFonts w:ascii="Century Gothic" w:eastAsia="Calibri" w:hAnsi="Century Gothic" w:cs="Calibri"/>
          <w:sz w:val="24"/>
          <w:szCs w:val="24"/>
        </w:rPr>
        <w:t>Havendo erro na apresentação da Nota Fiscal/Fatura, ou circunstância que impeça a liquidação da despesa, o pagamento ficará sobrestado até que o contratado pro</w:t>
      </w:r>
      <w:r>
        <w:rPr>
          <w:rFonts w:ascii="Century Gothic" w:eastAsia="Calibri" w:hAnsi="Century Gothic" w:cs="Calibri"/>
          <w:sz w:val="24"/>
          <w:szCs w:val="24"/>
        </w:rPr>
        <w:t>mova</w:t>
      </w:r>
      <w:r w:rsidRPr="0025631E">
        <w:rPr>
          <w:rFonts w:ascii="Century Gothic" w:eastAsia="Calibri" w:hAnsi="Century Gothic" w:cs="Calibri"/>
          <w:sz w:val="24"/>
          <w:szCs w:val="24"/>
        </w:rPr>
        <w:t xml:space="preserve"> as medidas saneadoras. </w:t>
      </w:r>
      <w:r w:rsidRPr="00477984">
        <w:rPr>
          <w:rFonts w:ascii="Century Gothic" w:eastAsia="Calibri" w:hAnsi="Century Gothic" w:cs="Calibri"/>
          <w:sz w:val="24"/>
          <w:szCs w:val="24"/>
        </w:rPr>
        <w:t xml:space="preserve">Nesta hipótese, o prazo para pagamento iniciar-se-á após a comprovação da regularização da situação, não acarretando qualquer ônus para a contratante; </w:t>
      </w:r>
    </w:p>
    <w:p w14:paraId="468DC4E8"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A Nota Fiscal ou Fatura deverá ser obrigatoriamente acompanhada da comprovação da regularidade fiscal, </w:t>
      </w:r>
      <w:r>
        <w:rPr>
          <w:rFonts w:ascii="Century Gothic" w:eastAsia="Calibri" w:hAnsi="Century Gothic" w:cs="Calibri"/>
          <w:sz w:val="24"/>
          <w:szCs w:val="24"/>
        </w:rPr>
        <w:t>conforme</w:t>
      </w:r>
      <w:r w:rsidRPr="00477984">
        <w:rPr>
          <w:rFonts w:ascii="Century Gothic" w:eastAsia="Calibri" w:hAnsi="Century Gothic" w:cs="Calibri"/>
          <w:sz w:val="24"/>
          <w:szCs w:val="24"/>
        </w:rPr>
        <w:t xml:space="preserve"> documentação mencionada no art. 68 da Lei nº 14.133/2021. </w:t>
      </w:r>
    </w:p>
    <w:p w14:paraId="47C7C635"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Constatando-se</w:t>
      </w:r>
      <w:r>
        <w:rPr>
          <w:rFonts w:ascii="Century Gothic" w:eastAsia="Calibri" w:hAnsi="Century Gothic" w:cs="Calibri"/>
          <w:sz w:val="24"/>
          <w:szCs w:val="24"/>
        </w:rPr>
        <w:t xml:space="preserve"> </w:t>
      </w:r>
      <w:r w:rsidRPr="00477984">
        <w:rPr>
          <w:rFonts w:ascii="Century Gothic" w:eastAsia="Calibri" w:hAnsi="Century Gothic" w:cs="Calibri"/>
          <w:sz w:val="24"/>
          <w:szCs w:val="24"/>
        </w:rPr>
        <w:t xml:space="preserve">a situação de irregularidade do contratado, será providenciada sua notificação, por escrito, para que, no prazo de 5 (cinco) dias úteis, regularize sua situação ou, no mesmo prazo, apresente sua </w:t>
      </w:r>
      <w:r w:rsidRPr="00477984">
        <w:rPr>
          <w:rFonts w:ascii="Century Gothic" w:eastAsia="Calibri" w:hAnsi="Century Gothic" w:cs="Calibri"/>
          <w:sz w:val="24"/>
          <w:szCs w:val="24"/>
        </w:rPr>
        <w:lastRenderedPageBreak/>
        <w:t>defesa. O prazo poderá ser prorrogado uma vez, por igual período, a critério da contratante</w:t>
      </w:r>
    </w:p>
    <w:p w14:paraId="560BB57F"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Não havendo regularização ou sendo a defesa considerada improcedente, a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3EA59A"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Persistindo a irregularidade, a contratante deverá adotar as medidas necessárias à rescisão contratual nos autos do processo administrativo correspondente, assegurada ao contratado a ampla defesa. </w:t>
      </w:r>
    </w:p>
    <w:p w14:paraId="7063BDF7"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Havendo a efetiva execução do objeto, os pagamentos serão realizados normalmente, até que se decida pela rescisão do contrato, caso o contratado não regularize sua situação </w:t>
      </w:r>
      <w:r>
        <w:rPr>
          <w:rFonts w:ascii="Century Gothic" w:eastAsia="Calibri" w:hAnsi="Century Gothic" w:cs="Calibri"/>
          <w:sz w:val="24"/>
          <w:szCs w:val="24"/>
        </w:rPr>
        <w:t>referida nos itens anteriores.</w:t>
      </w:r>
      <w:r w:rsidRPr="00477984">
        <w:rPr>
          <w:rFonts w:ascii="Century Gothic" w:eastAsia="Calibri" w:hAnsi="Century Gothic" w:cs="Calibri"/>
          <w:sz w:val="24"/>
          <w:szCs w:val="24"/>
        </w:rPr>
        <w:t xml:space="preserve"> </w:t>
      </w:r>
    </w:p>
    <w:p w14:paraId="3D7B8F56"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477984">
        <w:rPr>
          <w:rFonts w:ascii="Century Gothic" w:eastAsia="Calibri" w:hAnsi="Century Gothic" w:cs="Calibri"/>
          <w:sz w:val="24"/>
          <w:szCs w:val="24"/>
        </w:rPr>
        <w:t xml:space="preserve">Quando do pagamento, será efetuada a retenção tributária prevista na legislação aplicável. </w:t>
      </w:r>
    </w:p>
    <w:p w14:paraId="4836B194"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477984">
        <w:rPr>
          <w:rFonts w:ascii="Century Gothic" w:eastAsia="Calibri" w:hAnsi="Century Gothic" w:cs="Calibri"/>
          <w:sz w:val="24"/>
          <w:szCs w:val="24"/>
        </w:rPr>
        <w:t xml:space="preserve">Independentemente do percentual de tributo inserido na planilha, no pagamento serão retidos na fonte os percentuais estabelecidos na legislação vigente. </w:t>
      </w:r>
    </w:p>
    <w:p w14:paraId="754764B6" w14:textId="77777777" w:rsidR="00A21D6E" w:rsidRDefault="00A21D6E" w:rsidP="00A21D6E">
      <w:pPr>
        <w:pStyle w:val="PargrafodaLista"/>
        <w:numPr>
          <w:ilvl w:val="2"/>
          <w:numId w:val="1"/>
        </w:numPr>
        <w:spacing w:line="360" w:lineRule="auto"/>
        <w:ind w:left="0" w:firstLine="709"/>
        <w:jc w:val="both"/>
        <w:rPr>
          <w:rFonts w:ascii="Century Gothic" w:eastAsia="Calibri" w:hAnsi="Century Gothic" w:cs="Calibri"/>
          <w:sz w:val="24"/>
          <w:szCs w:val="24"/>
        </w:rPr>
      </w:pPr>
      <w:r w:rsidRPr="00477984">
        <w:rPr>
          <w:rFonts w:ascii="Century Gothic" w:eastAsia="Calibri" w:hAnsi="Century Gothic" w:cs="Calibri"/>
          <w:sz w:val="24"/>
          <w:szCs w:val="24"/>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EEF942D" w14:textId="77777777" w:rsidR="00A21D6E" w:rsidRPr="00801527" w:rsidRDefault="00A21D6E" w:rsidP="00A21D6E">
      <w:pPr>
        <w:spacing w:line="360" w:lineRule="auto"/>
        <w:jc w:val="both"/>
        <w:rPr>
          <w:rFonts w:ascii="Century Gothic" w:eastAsia="Calibri" w:hAnsi="Century Gothic" w:cs="Calibri"/>
          <w:sz w:val="24"/>
          <w:szCs w:val="24"/>
        </w:rPr>
      </w:pPr>
    </w:p>
    <w:p w14:paraId="58145824" w14:textId="77777777" w:rsidR="00A21D6E" w:rsidRPr="00801527" w:rsidRDefault="00A21D6E" w:rsidP="00A21D6E">
      <w:pPr>
        <w:pStyle w:val="PargrafodaLista"/>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801527">
        <w:rPr>
          <w:rFonts w:ascii="Century Gothic" w:eastAsia="Calibri" w:hAnsi="Century Gothic" w:cs="Calibri"/>
          <w:b/>
          <w:bCs/>
          <w:sz w:val="24"/>
          <w:szCs w:val="24"/>
        </w:rPr>
        <w:lastRenderedPageBreak/>
        <w:t>OBRIGAÇÕES DA CONTRATANTE (art. 92, X, XI e XIV):</w:t>
      </w:r>
    </w:p>
    <w:p w14:paraId="1F863618"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São obrigações da Contratante: </w:t>
      </w:r>
    </w:p>
    <w:p w14:paraId="7AD60876"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Exigir o cumprimento de todas as obrigações assumidas pelo Contratado, de acordo com o Termo de Referência e seus anexos; </w:t>
      </w:r>
    </w:p>
    <w:p w14:paraId="000F9D98"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Receber o objeto no prazo e condições estabelecidas no Termo de Referência; </w:t>
      </w:r>
    </w:p>
    <w:p w14:paraId="721D741B"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Notificar o Contratado, por escrito, sobre vícios, defeitos ou incorreções verificadas no objeto fornecido, para que seja por ele substituído, reparado ou corrigido, no total ou em parte, às suas expensas; </w:t>
      </w:r>
    </w:p>
    <w:p w14:paraId="6EFC303C"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Acompanhar e fiscalizar a execução do contrato e o cumprimento das obrigações pelo Contratado; </w:t>
      </w:r>
    </w:p>
    <w:p w14:paraId="5BD36229"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Efetuar o pagamento ao Contratado do valor correspondente ao fornecimento do objeto, no prazo, forma e condições estabelecidos no presente Contrato; </w:t>
      </w:r>
    </w:p>
    <w:p w14:paraId="57699C2E"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Aplicar ao Contratado sanções motivadas pela inexecução total ou parcial do Contrato; </w:t>
      </w:r>
    </w:p>
    <w:p w14:paraId="09997006"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Cientificar o órgão de representação judicial para adoção das medidas cabíveis quando do descumprimento de obrigações pelo Contratado;</w:t>
      </w:r>
      <w:r>
        <w:rPr>
          <w:rFonts w:ascii="Century Gothic" w:eastAsia="Calibri" w:hAnsi="Century Gothic" w:cs="Calibri"/>
          <w:sz w:val="24"/>
          <w:szCs w:val="24"/>
        </w:rPr>
        <w:t xml:space="preserve"> </w:t>
      </w:r>
    </w:p>
    <w:p w14:paraId="5E6B4B74"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553A8099"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801527">
        <w:rPr>
          <w:rFonts w:ascii="Century Gothic" w:eastAsia="Calibri" w:hAnsi="Century Gothic" w:cs="Calibri"/>
          <w:sz w:val="24"/>
          <w:szCs w:val="24"/>
        </w:rPr>
        <w:lastRenderedPageBreak/>
        <w:t xml:space="preserve">Concluída a instrução do requerimento, a Administração terá o prazo de 30 (trinta) dias para decidir, admitida a prorrogação motivada por igual período. </w:t>
      </w:r>
    </w:p>
    <w:p w14:paraId="40645728"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801527">
        <w:rPr>
          <w:rFonts w:ascii="Century Gothic" w:eastAsia="Calibri" w:hAnsi="Century Gothic" w:cs="Calibri"/>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47070BF" w14:textId="77777777" w:rsidR="00A21D6E" w:rsidRDefault="00A21D6E" w:rsidP="00A21D6E">
      <w:pPr>
        <w:pStyle w:val="PargrafodaLista"/>
        <w:spacing w:line="360" w:lineRule="auto"/>
        <w:ind w:left="0"/>
        <w:jc w:val="both"/>
        <w:rPr>
          <w:rFonts w:ascii="Century Gothic" w:eastAsia="Calibri" w:hAnsi="Century Gothic" w:cs="Calibri"/>
          <w:sz w:val="24"/>
          <w:szCs w:val="24"/>
        </w:rPr>
      </w:pPr>
    </w:p>
    <w:p w14:paraId="48A239B6" w14:textId="77777777" w:rsidR="00A21D6E" w:rsidRPr="00801527" w:rsidRDefault="00A21D6E" w:rsidP="00A21D6E">
      <w:pPr>
        <w:pStyle w:val="PargrafodaLista"/>
        <w:numPr>
          <w:ilvl w:val="0"/>
          <w:numId w:val="1"/>
        </w:numPr>
        <w:shd w:val="clear" w:color="auto" w:fill="BFBFBF" w:themeFill="background1" w:themeFillShade="BF"/>
        <w:spacing w:line="360" w:lineRule="auto"/>
        <w:jc w:val="both"/>
        <w:rPr>
          <w:rFonts w:ascii="Century Gothic" w:eastAsia="Calibri" w:hAnsi="Century Gothic" w:cs="Calibri"/>
          <w:b/>
          <w:bCs/>
          <w:sz w:val="24"/>
          <w:szCs w:val="24"/>
        </w:rPr>
      </w:pPr>
      <w:r w:rsidRPr="00795FB4">
        <w:rPr>
          <w:rFonts w:ascii="Century Gothic" w:eastAsia="Calibri" w:hAnsi="Century Gothic" w:cs="Calibri"/>
          <w:b/>
          <w:bCs/>
          <w:sz w:val="24"/>
          <w:szCs w:val="24"/>
        </w:rPr>
        <w:t>OBRIGAÇÕES DO CONTRATADO (art. 92, XIV, XVI e XVII)</w:t>
      </w:r>
      <w:r w:rsidRPr="00801527">
        <w:rPr>
          <w:rFonts w:ascii="Century Gothic" w:eastAsia="Calibri" w:hAnsi="Century Gothic" w:cs="Calibri"/>
          <w:b/>
          <w:bCs/>
          <w:sz w:val="24"/>
          <w:szCs w:val="24"/>
        </w:rPr>
        <w:t>:</w:t>
      </w:r>
    </w:p>
    <w:p w14:paraId="128CCB4B" w14:textId="77777777" w:rsidR="00A21D6E" w:rsidRDefault="00A21D6E" w:rsidP="00A21D6E">
      <w:pPr>
        <w:pStyle w:val="PargrafodaLista"/>
        <w:numPr>
          <w:ilvl w:val="1"/>
          <w:numId w:val="1"/>
        </w:numPr>
        <w:spacing w:line="360" w:lineRule="auto"/>
        <w:ind w:left="0" w:firstLine="0"/>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O Contratado deve cumprir todas as obrigações constantes deste termo de referência e em seus anexos, assumindo como exclusivamente seus os riscos e as despesas decorrentes da boa e perfeita execução do objeto, observando, ainda, as obrigações a seguir dispostas: </w:t>
      </w:r>
    </w:p>
    <w:p w14:paraId="3E5FBD5C"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Entregar o objeto</w:t>
      </w:r>
      <w:r>
        <w:rPr>
          <w:rFonts w:ascii="Century Gothic" w:eastAsia="Calibri" w:hAnsi="Century Gothic" w:cs="Calibri"/>
          <w:sz w:val="24"/>
          <w:szCs w:val="24"/>
        </w:rPr>
        <w:t>, conforme as exigências técnicas e legais pertinentes ao objeto</w:t>
      </w:r>
      <w:r w:rsidRPr="00795FB4">
        <w:rPr>
          <w:rFonts w:ascii="Century Gothic" w:eastAsia="Calibri" w:hAnsi="Century Gothic" w:cs="Calibri"/>
          <w:sz w:val="24"/>
          <w:szCs w:val="24"/>
        </w:rPr>
        <w:t xml:space="preserve">; </w:t>
      </w:r>
    </w:p>
    <w:p w14:paraId="79F04657"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 responsabilizar-se pelos vícios e danos decorrentes do objeto, de acordo com os artigos 12, 13 e 17 a 27, do Código de Defesa do Consumidor (Lei nº 8.078, de 1990); </w:t>
      </w:r>
    </w:p>
    <w:p w14:paraId="11C7623B"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comunicar ao Contratante, no prazo máximo de 24 (vinte e quatro) horas que antecede a data da entrega, os motivos que impossibilitem o cumprimento do prazo previsto, com a devida comprovação;</w:t>
      </w:r>
      <w:r>
        <w:rPr>
          <w:rFonts w:ascii="Century Gothic" w:eastAsia="Calibri" w:hAnsi="Century Gothic" w:cs="Calibri"/>
          <w:sz w:val="24"/>
          <w:szCs w:val="24"/>
        </w:rPr>
        <w:t xml:space="preserve"> </w:t>
      </w:r>
    </w:p>
    <w:p w14:paraId="29103732"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Reparar, corrigir, remover, reconstruir ou substituir, às suas expensas, no total ou em parte, no prazo fixado pelo contratante, </w:t>
      </w:r>
      <w:r w:rsidRPr="00795FB4">
        <w:rPr>
          <w:rFonts w:ascii="Century Gothic" w:eastAsia="Calibri" w:hAnsi="Century Gothic" w:cs="Calibri"/>
          <w:sz w:val="24"/>
          <w:szCs w:val="24"/>
        </w:rPr>
        <w:lastRenderedPageBreak/>
        <w:t xml:space="preserve">os bens nos quais se verificarem vícios, defeitos ou incorreções resultantes da execução ou dos materiais empregados; </w:t>
      </w:r>
    </w:p>
    <w:p w14:paraId="6E2230C2"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w:t>
      </w:r>
    </w:p>
    <w:p w14:paraId="30B57A23"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enviar </w:t>
      </w:r>
      <w:r>
        <w:rPr>
          <w:rFonts w:ascii="Century Gothic" w:eastAsia="Calibri" w:hAnsi="Century Gothic" w:cs="Calibri"/>
          <w:sz w:val="24"/>
          <w:szCs w:val="24"/>
        </w:rPr>
        <w:t>à</w:t>
      </w:r>
      <w:r w:rsidRPr="00795FB4">
        <w:rPr>
          <w:rFonts w:ascii="Century Gothic" w:eastAsia="Calibri" w:hAnsi="Century Gothic" w:cs="Calibri"/>
          <w:sz w:val="24"/>
          <w:szCs w:val="24"/>
        </w:rPr>
        <w:t xml:space="preserve"> contratante os seguintes documentos: 1) prova de regularidade relativa à Seguridade Social; 2) certidão conjunta relativa aos tributos federais e à Dívida Ativa da União; 3) certidões que comprovem a regularidade perante a Fazenda Estadual</w:t>
      </w:r>
      <w:r>
        <w:rPr>
          <w:rFonts w:ascii="Century Gothic" w:eastAsia="Calibri" w:hAnsi="Century Gothic" w:cs="Calibri"/>
          <w:sz w:val="24"/>
          <w:szCs w:val="24"/>
        </w:rPr>
        <w:t xml:space="preserve"> </w:t>
      </w:r>
      <w:r w:rsidRPr="00795FB4">
        <w:rPr>
          <w:rFonts w:ascii="Century Gothic" w:eastAsia="Calibri" w:hAnsi="Century Gothic" w:cs="Calibri"/>
          <w:sz w:val="24"/>
          <w:szCs w:val="24"/>
        </w:rPr>
        <w:t>do domicílio ou sede do contratado</w:t>
      </w:r>
      <w:r>
        <w:rPr>
          <w:rFonts w:ascii="Century Gothic" w:eastAsia="Calibri" w:hAnsi="Century Gothic" w:cs="Calibri"/>
          <w:sz w:val="24"/>
          <w:szCs w:val="24"/>
        </w:rPr>
        <w:t xml:space="preserve">; 4) </w:t>
      </w:r>
      <w:r w:rsidRPr="00795FB4">
        <w:rPr>
          <w:rFonts w:ascii="Century Gothic" w:eastAsia="Calibri" w:hAnsi="Century Gothic" w:cs="Calibri"/>
          <w:sz w:val="24"/>
          <w:szCs w:val="24"/>
        </w:rPr>
        <w:t xml:space="preserve">certidões que comprovem a regularidade perante a Fazenda </w:t>
      </w:r>
      <w:r>
        <w:rPr>
          <w:rFonts w:ascii="Century Gothic" w:eastAsia="Calibri" w:hAnsi="Century Gothic" w:cs="Calibri"/>
          <w:sz w:val="24"/>
          <w:szCs w:val="24"/>
        </w:rPr>
        <w:t>Municipal</w:t>
      </w:r>
      <w:r w:rsidRPr="00795FB4">
        <w:rPr>
          <w:rFonts w:ascii="Century Gothic" w:eastAsia="Calibri" w:hAnsi="Century Gothic" w:cs="Calibri"/>
          <w:sz w:val="24"/>
          <w:szCs w:val="24"/>
        </w:rPr>
        <w:t xml:space="preserve"> do domicílio ou sede do contratado; </w:t>
      </w:r>
      <w:r>
        <w:rPr>
          <w:rFonts w:ascii="Century Gothic" w:eastAsia="Calibri" w:hAnsi="Century Gothic" w:cs="Calibri"/>
          <w:sz w:val="24"/>
          <w:szCs w:val="24"/>
        </w:rPr>
        <w:t>5</w:t>
      </w:r>
      <w:r w:rsidRPr="00795FB4">
        <w:rPr>
          <w:rFonts w:ascii="Century Gothic" w:eastAsia="Calibri" w:hAnsi="Century Gothic" w:cs="Calibri"/>
          <w:sz w:val="24"/>
          <w:szCs w:val="24"/>
        </w:rPr>
        <w:t xml:space="preserve">) Certidão de Regularidade do FGTS – CRF; e </w:t>
      </w:r>
      <w:r>
        <w:rPr>
          <w:rFonts w:ascii="Century Gothic" w:eastAsia="Calibri" w:hAnsi="Century Gothic" w:cs="Calibri"/>
          <w:sz w:val="24"/>
          <w:szCs w:val="24"/>
        </w:rPr>
        <w:t>6</w:t>
      </w:r>
      <w:r w:rsidRPr="00795FB4">
        <w:rPr>
          <w:rFonts w:ascii="Century Gothic" w:eastAsia="Calibri" w:hAnsi="Century Gothic" w:cs="Calibri"/>
          <w:sz w:val="24"/>
          <w:szCs w:val="24"/>
        </w:rPr>
        <w:t xml:space="preserve">) Certidão Negativa de Débitos Trabalhistas – CNDT; </w:t>
      </w:r>
    </w:p>
    <w:p w14:paraId="3D1B6DB4"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04C55D3"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Comunicar a contratante, no prazo de 24 (vinte e quatro) horas, qualquer ocorrência anormal ou acidente que se verifique no local da execução do objeto contratual. </w:t>
      </w:r>
    </w:p>
    <w:p w14:paraId="6B856BC6"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Paralisar, por determinação do Contratante, qualquer atividade que não esteja sendo executada de acordo com a boa técnica </w:t>
      </w:r>
      <w:r w:rsidRPr="00795FB4">
        <w:rPr>
          <w:rFonts w:ascii="Century Gothic" w:eastAsia="Calibri" w:hAnsi="Century Gothic" w:cs="Calibri"/>
          <w:sz w:val="24"/>
          <w:szCs w:val="24"/>
        </w:rPr>
        <w:lastRenderedPageBreak/>
        <w:t>ou que ponha em risco a segurança de pessoas ou bens de terceiros.</w:t>
      </w:r>
    </w:p>
    <w:p w14:paraId="788468E3"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 Manter durante toda a vigência do contrato, em compatibilidade com as obrigações assumidas, todas as condições exigidas para habilitação na licitação, ou para qualificação, na contratação direta; </w:t>
      </w:r>
    </w:p>
    <w:p w14:paraId="0AB8C447"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sidRPr="00795FB4">
        <w:rPr>
          <w:rFonts w:ascii="Century Gothic" w:eastAsia="Calibri" w:hAnsi="Century Gothic" w:cs="Calibri"/>
          <w:sz w:val="24"/>
          <w:szCs w:val="24"/>
        </w:rPr>
        <w:t xml:space="preserve"> Guardar sigilo sobre todas as informações obtidas em decorrência do cumprimento do contrato;</w:t>
      </w:r>
    </w:p>
    <w:p w14:paraId="6D4E9C5A"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795FB4">
        <w:rPr>
          <w:rFonts w:ascii="Century Gothic" w:eastAsia="Calibri" w:hAnsi="Century Gothic" w:cs="Calibri"/>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11.4.13. </w:t>
      </w:r>
    </w:p>
    <w:p w14:paraId="7BD10A40" w14:textId="77777777" w:rsidR="00A21D6E" w:rsidRDefault="00A21D6E" w:rsidP="00A21D6E">
      <w:pPr>
        <w:pStyle w:val="PargrafodaLista"/>
        <w:numPr>
          <w:ilvl w:val="2"/>
          <w:numId w:val="1"/>
        </w:numPr>
        <w:spacing w:line="360" w:lineRule="auto"/>
        <w:jc w:val="both"/>
        <w:rPr>
          <w:rFonts w:ascii="Century Gothic" w:eastAsia="Calibri" w:hAnsi="Century Gothic" w:cs="Calibri"/>
          <w:sz w:val="24"/>
          <w:szCs w:val="24"/>
        </w:rPr>
      </w:pPr>
      <w:r>
        <w:rPr>
          <w:rFonts w:ascii="Century Gothic" w:eastAsia="Calibri" w:hAnsi="Century Gothic" w:cs="Calibri"/>
          <w:sz w:val="24"/>
          <w:szCs w:val="24"/>
        </w:rPr>
        <w:t xml:space="preserve"> </w:t>
      </w:r>
      <w:r w:rsidRPr="00795FB4">
        <w:rPr>
          <w:rFonts w:ascii="Century Gothic" w:eastAsia="Calibri" w:hAnsi="Century Gothic" w:cs="Calibri"/>
          <w:sz w:val="24"/>
          <w:szCs w:val="24"/>
        </w:rPr>
        <w:t>Cumprir, além dos postulados legais vigentes de âmbito federal, estadual ou municipal, as normas de segurança do Contratante;</w:t>
      </w:r>
    </w:p>
    <w:p w14:paraId="1D832646" w14:textId="77777777" w:rsidR="00A21D6E" w:rsidRDefault="00A21D6E" w:rsidP="00A21D6E">
      <w:pPr>
        <w:spacing w:line="360" w:lineRule="auto"/>
        <w:jc w:val="both"/>
        <w:rPr>
          <w:rFonts w:ascii="Century Gothic" w:eastAsia="Calibri" w:hAnsi="Century Gothic" w:cs="Calibri"/>
          <w:sz w:val="24"/>
          <w:szCs w:val="24"/>
        </w:rPr>
      </w:pPr>
    </w:p>
    <w:p w14:paraId="4B6009FF" w14:textId="77777777" w:rsidR="00A21D6E" w:rsidRDefault="00A21D6E" w:rsidP="00A21D6E">
      <w:pPr>
        <w:shd w:val="clear" w:color="auto" w:fill="BFBFBF" w:themeFill="background1" w:themeFillShade="BF"/>
        <w:spacing w:line="360" w:lineRule="auto"/>
        <w:jc w:val="both"/>
        <w:rPr>
          <w:rFonts w:ascii="Century Gothic" w:eastAsia="Calibri" w:hAnsi="Century Gothic" w:cs="Calibri"/>
          <w:b/>
          <w:bCs/>
          <w:sz w:val="24"/>
          <w:szCs w:val="24"/>
        </w:rPr>
      </w:pPr>
      <w:r w:rsidRPr="00E15812">
        <w:rPr>
          <w:rFonts w:ascii="Century Gothic" w:eastAsia="Calibri" w:hAnsi="Century Gothic" w:cs="Calibri"/>
          <w:b/>
          <w:bCs/>
          <w:sz w:val="24"/>
          <w:szCs w:val="24"/>
        </w:rPr>
        <w:t>10.</w:t>
      </w:r>
      <w:r>
        <w:rPr>
          <w:rFonts w:ascii="Century Gothic" w:eastAsia="Calibri" w:hAnsi="Century Gothic" w:cs="Calibri"/>
          <w:b/>
          <w:bCs/>
          <w:sz w:val="24"/>
          <w:szCs w:val="24"/>
        </w:rPr>
        <w:t xml:space="preserve"> </w:t>
      </w:r>
      <w:r w:rsidRPr="00E15812">
        <w:rPr>
          <w:rFonts w:ascii="Century Gothic" w:eastAsia="Calibri" w:hAnsi="Century Gothic" w:cs="Calibri"/>
          <w:b/>
          <w:bCs/>
          <w:sz w:val="24"/>
          <w:szCs w:val="24"/>
        </w:rPr>
        <w:t>INFRAÇÃO E SANÇÕES ADMINISTRATIVAS (ART. 92, XIV):</w:t>
      </w:r>
    </w:p>
    <w:p w14:paraId="3E6C48D0" w14:textId="77777777" w:rsidR="00A21D6E" w:rsidRDefault="00A21D6E" w:rsidP="00A21D6E">
      <w:p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sz w:val="24"/>
          <w:szCs w:val="24"/>
        </w:rPr>
        <w:t>10.1</w:t>
      </w:r>
      <w:r>
        <w:rPr>
          <w:rFonts w:ascii="Century Gothic" w:eastAsia="Calibri" w:hAnsi="Century Gothic" w:cs="Calibri"/>
          <w:b/>
          <w:bCs/>
          <w:sz w:val="24"/>
          <w:szCs w:val="24"/>
        </w:rPr>
        <w:t xml:space="preserve"> </w:t>
      </w:r>
      <w:r w:rsidRPr="006A3CD3">
        <w:rPr>
          <w:rFonts w:ascii="Century Gothic" w:eastAsia="Calibri" w:hAnsi="Century Gothic" w:cs="Calibri"/>
          <w:color w:val="000000"/>
          <w:sz w:val="24"/>
          <w:szCs w:val="24"/>
        </w:rPr>
        <w:t xml:space="preserve">Comete infração administrativa o Contratado que praticar qualquer das condutas descritas no art. </w:t>
      </w:r>
      <w:r>
        <w:rPr>
          <w:rFonts w:ascii="Century Gothic" w:eastAsia="Calibri" w:hAnsi="Century Gothic" w:cs="Calibri"/>
          <w:color w:val="000000"/>
          <w:sz w:val="24"/>
          <w:szCs w:val="24"/>
        </w:rPr>
        <w:t>155</w:t>
      </w:r>
      <w:r w:rsidRPr="006A3CD3">
        <w:rPr>
          <w:rFonts w:ascii="Century Gothic" w:eastAsia="Calibri" w:hAnsi="Century Gothic" w:cs="Calibri"/>
          <w:color w:val="000000"/>
          <w:sz w:val="24"/>
          <w:szCs w:val="24"/>
        </w:rPr>
        <w:t xml:space="preserve"> da Lei nº 14.133/2021. </w:t>
      </w:r>
    </w:p>
    <w:p w14:paraId="5B3230D9"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10.2</w:t>
      </w:r>
      <w:r w:rsidRPr="006A3CD3">
        <w:rPr>
          <w:rFonts w:ascii="Century Gothic" w:eastAsia="Calibri" w:hAnsi="Century Gothic" w:cs="Calibri"/>
          <w:color w:val="000000"/>
          <w:sz w:val="24"/>
          <w:szCs w:val="24"/>
        </w:rPr>
        <w:t xml:space="preserve"> Serão aplicadas ao responsável pelas infrações administrativas as seguintes sanções:</w:t>
      </w:r>
      <w:r>
        <w:rPr>
          <w:rFonts w:ascii="Century Gothic" w:eastAsia="Calibri" w:hAnsi="Century Gothic" w:cs="Calibri"/>
          <w:color w:val="000000"/>
          <w:sz w:val="24"/>
          <w:szCs w:val="24"/>
        </w:rPr>
        <w:t xml:space="preserve"> </w:t>
      </w:r>
    </w:p>
    <w:p w14:paraId="2F88D424"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Advertência, quando o Contratado der causa à inexecução parcial do contrato, sempre que não se justificar a imposição de penalidade mais grave (art. 156, §2º, da Lei);</w:t>
      </w:r>
    </w:p>
    <w:p w14:paraId="2F3F44B7"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lastRenderedPageBreak/>
        <w:t xml:space="preserve">Impedimento de licitar e contratar, quando praticadas as condutas descritas nas alíneas II, III, IV, V, VI e VII do art. </w:t>
      </w:r>
      <w:r>
        <w:rPr>
          <w:rFonts w:ascii="Century Gothic" w:eastAsia="Calibri" w:hAnsi="Century Gothic" w:cs="Calibri"/>
          <w:color w:val="000000"/>
          <w:sz w:val="24"/>
          <w:szCs w:val="24"/>
        </w:rPr>
        <w:t>155</w:t>
      </w:r>
      <w:r w:rsidRPr="00E15812">
        <w:rPr>
          <w:rFonts w:ascii="Century Gothic" w:eastAsia="Calibri" w:hAnsi="Century Gothic" w:cs="Calibri"/>
          <w:color w:val="000000"/>
          <w:sz w:val="24"/>
          <w:szCs w:val="24"/>
        </w:rPr>
        <w:t xml:space="preserve"> da Lei nº 14.133/2021, sempre que não se justificar a imposição de penalidade mais grave (art. 156, §4º, da Lei);</w:t>
      </w:r>
    </w:p>
    <w:p w14:paraId="293BFFF1"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 xml:space="preserve">Declaração de inidoneidade para licitar e contratar, quando praticadas as condutas descritas nos incisos VIII, IX, X, XI e XII do art. </w:t>
      </w:r>
      <w:r>
        <w:rPr>
          <w:rFonts w:ascii="Century Gothic" w:eastAsia="Calibri" w:hAnsi="Century Gothic" w:cs="Calibri"/>
          <w:color w:val="000000"/>
          <w:sz w:val="24"/>
          <w:szCs w:val="24"/>
        </w:rPr>
        <w:t>155</w:t>
      </w:r>
      <w:r w:rsidRPr="00E15812">
        <w:rPr>
          <w:rFonts w:ascii="Century Gothic" w:eastAsia="Calibri" w:hAnsi="Century Gothic" w:cs="Calibri"/>
          <w:color w:val="000000"/>
          <w:sz w:val="24"/>
          <w:szCs w:val="24"/>
        </w:rPr>
        <w:t xml:space="preserve"> da Lei nº 14.133/2021, que justifiquem a imposição de penalidade mais grave (art. 156, §5º, da Lei)</w:t>
      </w:r>
    </w:p>
    <w:p w14:paraId="7DD683C2" w14:textId="77777777" w:rsidR="00A21D6E" w:rsidRPr="00E15812" w:rsidRDefault="00A21D6E" w:rsidP="00A21D6E">
      <w:pPr>
        <w:pStyle w:val="PargrafodaLista"/>
        <w:numPr>
          <w:ilvl w:val="0"/>
          <w:numId w:val="3"/>
        </w:num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Multa:</w:t>
      </w:r>
    </w:p>
    <w:p w14:paraId="2989A70F" w14:textId="77777777" w:rsidR="00A21D6E" w:rsidRDefault="00A21D6E" w:rsidP="00A21D6E">
      <w:pPr>
        <w:spacing w:line="360" w:lineRule="auto"/>
        <w:ind w:left="993"/>
        <w:jc w:val="both"/>
        <w:rPr>
          <w:rFonts w:ascii="Century Gothic" w:eastAsia="Calibri" w:hAnsi="Century Gothic" w:cs="Calibri"/>
          <w:color w:val="000000"/>
          <w:sz w:val="24"/>
          <w:szCs w:val="24"/>
        </w:rPr>
      </w:pPr>
      <w:r w:rsidRPr="00BA0DDF">
        <w:rPr>
          <w:rFonts w:ascii="Century Gothic" w:eastAsia="Calibri" w:hAnsi="Century Gothic" w:cs="Calibri"/>
          <w:color w:val="000000"/>
          <w:sz w:val="24"/>
          <w:szCs w:val="24"/>
        </w:rPr>
        <w:t>(1) moratória de 1 % (um por cento) por dia de atraso injustificado sobre o valor da parcela</w:t>
      </w:r>
      <w:r>
        <w:rPr>
          <w:rFonts w:ascii="Century Gothic" w:eastAsia="Calibri" w:hAnsi="Century Gothic" w:cs="Calibri"/>
          <w:color w:val="000000"/>
          <w:sz w:val="24"/>
          <w:szCs w:val="24"/>
        </w:rPr>
        <w:t xml:space="preserve"> </w:t>
      </w:r>
      <w:r w:rsidRPr="00BA0DDF">
        <w:rPr>
          <w:rFonts w:ascii="Century Gothic" w:eastAsia="Calibri" w:hAnsi="Century Gothic" w:cs="Calibri"/>
          <w:color w:val="000000"/>
          <w:sz w:val="24"/>
          <w:szCs w:val="24"/>
        </w:rPr>
        <w:t>inadimplida, até o limite de 30 (trinta) dias;</w:t>
      </w:r>
    </w:p>
    <w:p w14:paraId="20DAAE69" w14:textId="77777777" w:rsidR="00A21D6E" w:rsidRDefault="00A21D6E" w:rsidP="00A21D6E">
      <w:pPr>
        <w:spacing w:line="360" w:lineRule="auto"/>
        <w:ind w:left="993"/>
        <w:jc w:val="both"/>
        <w:rPr>
          <w:rFonts w:ascii="Century Gothic" w:eastAsia="Calibri" w:hAnsi="Century Gothic" w:cs="Calibri"/>
          <w:color w:val="000000"/>
          <w:sz w:val="24"/>
          <w:szCs w:val="24"/>
        </w:rPr>
      </w:pPr>
      <w:r w:rsidRPr="00BA0DDF">
        <w:rPr>
          <w:rFonts w:ascii="Century Gothic" w:eastAsia="Calibri" w:hAnsi="Century Gothic" w:cs="Calibri"/>
          <w:color w:val="000000"/>
          <w:sz w:val="24"/>
          <w:szCs w:val="24"/>
        </w:rPr>
        <w:t>(2) compensatória de 10% (dez por cento) sobre o valor total do contrato, no caso de inexecução</w:t>
      </w:r>
      <w:r>
        <w:rPr>
          <w:rFonts w:ascii="Century Gothic" w:eastAsia="Calibri" w:hAnsi="Century Gothic" w:cs="Calibri"/>
          <w:color w:val="000000"/>
          <w:sz w:val="24"/>
          <w:szCs w:val="24"/>
        </w:rPr>
        <w:t xml:space="preserve"> </w:t>
      </w:r>
      <w:r w:rsidRPr="00BA0DDF">
        <w:rPr>
          <w:rFonts w:ascii="Century Gothic" w:eastAsia="Calibri" w:hAnsi="Century Gothic" w:cs="Calibri"/>
          <w:color w:val="000000"/>
          <w:sz w:val="24"/>
          <w:szCs w:val="24"/>
        </w:rPr>
        <w:t>total do objeto ou sobre o valor da parcela inadimplida, no caso de inexecução parcial</w:t>
      </w:r>
      <w:r>
        <w:rPr>
          <w:rFonts w:ascii="Century Gothic" w:eastAsia="Calibri" w:hAnsi="Century Gothic" w:cs="Calibri"/>
          <w:color w:val="000000"/>
          <w:sz w:val="24"/>
          <w:szCs w:val="24"/>
        </w:rPr>
        <w:t>.</w:t>
      </w:r>
    </w:p>
    <w:p w14:paraId="0061C252"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10.3. </w:t>
      </w:r>
      <w:r w:rsidRPr="00E15812">
        <w:rPr>
          <w:rFonts w:ascii="Century Gothic" w:eastAsia="Calibri" w:hAnsi="Century Gothic" w:cs="Calibri"/>
          <w:color w:val="000000"/>
          <w:sz w:val="24"/>
          <w:szCs w:val="24"/>
        </w:rPr>
        <w:t>A aplicação das sanções previstas neste Contrato não exclui, em hipótese alguma, a obrigação de reparação integral do dano causado à Contratante (art. 156, §9º).</w:t>
      </w:r>
    </w:p>
    <w:p w14:paraId="416884E7"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10.4. </w:t>
      </w:r>
      <w:r w:rsidRPr="00E15812">
        <w:rPr>
          <w:rFonts w:ascii="Century Gothic" w:eastAsia="Calibri" w:hAnsi="Century Gothic" w:cs="Calibri"/>
          <w:color w:val="000000"/>
          <w:sz w:val="24"/>
          <w:szCs w:val="24"/>
        </w:rPr>
        <w:t>Todas as sanções previstas neste Contrato poderão ser aplicadas cumulativamente com a multa (art. 156, §7º).</w:t>
      </w:r>
    </w:p>
    <w:p w14:paraId="61BF65D6"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10.5. </w:t>
      </w:r>
      <w:r w:rsidRPr="00E15812">
        <w:rPr>
          <w:rFonts w:ascii="Century Gothic" w:eastAsia="Calibri" w:hAnsi="Century Gothic" w:cs="Calibri"/>
          <w:color w:val="000000"/>
          <w:sz w:val="24"/>
          <w:szCs w:val="24"/>
        </w:rPr>
        <w:t>Antes da aplicação da multa será facultada a defesa do interessado no prazo de 15 (quinze) dias úteis, contado da data de sua intimação (art. 157).</w:t>
      </w:r>
    </w:p>
    <w:p w14:paraId="06B2BBC1"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10.6. </w:t>
      </w:r>
      <w:r w:rsidRPr="00E15812">
        <w:rPr>
          <w:rFonts w:ascii="Century Gothic" w:eastAsia="Calibri" w:hAnsi="Century Gothic" w:cs="Calibri"/>
          <w:color w:val="000000"/>
          <w:sz w:val="24"/>
          <w:szCs w:val="24"/>
        </w:rPr>
        <w:t>Se a multa aplicada e as indenizações cabíveis forem superiores ao valor do pagamento eventualmente devido pela Contratante ao Contratado, além da perda desse valor, a diferença será descontada da garantia prestada ou será cobrada judicialmente (art. 156, §8º).</w:t>
      </w:r>
    </w:p>
    <w:p w14:paraId="11D99C01"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lastRenderedPageBreak/>
        <w:t xml:space="preserve">10.7. </w:t>
      </w:r>
      <w:r w:rsidRPr="00E15812">
        <w:rPr>
          <w:rFonts w:ascii="Century Gothic" w:eastAsia="Calibri" w:hAnsi="Century Gothic" w:cs="Calibri"/>
          <w:color w:val="000000"/>
          <w:sz w:val="24"/>
          <w:szCs w:val="24"/>
        </w:rPr>
        <w:t>Previamente ao encaminhamento à cobrança judicial, a multa poderá ser recolhida administrativamente no prazo máximo de 30 (trinta) dias, a contar da data do recebimento da comunicação enviada pela autoridade competente.</w:t>
      </w:r>
    </w:p>
    <w:p w14:paraId="64429160" w14:textId="77777777" w:rsidR="00A21D6E" w:rsidRDefault="00A21D6E" w:rsidP="00A21D6E">
      <w:pPr>
        <w:spacing w:line="360" w:lineRule="auto"/>
        <w:jc w:val="both"/>
        <w:rPr>
          <w:rFonts w:ascii="Century Gothic" w:eastAsia="Calibri" w:hAnsi="Century Gothic" w:cs="Calibri"/>
          <w:color w:val="000000"/>
          <w:sz w:val="24"/>
          <w:szCs w:val="24"/>
        </w:rPr>
      </w:pPr>
      <w:r w:rsidRPr="00E15812">
        <w:rPr>
          <w:rFonts w:ascii="Century Gothic" w:eastAsia="Calibri" w:hAnsi="Century Gothic" w:cs="Calibri"/>
          <w:color w:val="000000"/>
          <w:sz w:val="24"/>
          <w:szCs w:val="24"/>
        </w:rPr>
        <w:t xml:space="preserve"> </w:t>
      </w:r>
      <w:r>
        <w:rPr>
          <w:rFonts w:ascii="Century Gothic" w:eastAsia="Calibri" w:hAnsi="Century Gothic" w:cs="Calibri"/>
          <w:color w:val="000000"/>
          <w:sz w:val="24"/>
          <w:szCs w:val="24"/>
        </w:rPr>
        <w:t xml:space="preserve">10.8. </w:t>
      </w:r>
      <w:r w:rsidRPr="00E15812">
        <w:rPr>
          <w:rFonts w:ascii="Century Gothic" w:eastAsia="Calibri" w:hAnsi="Century Gothic" w:cs="Calibri"/>
          <w:color w:val="000000"/>
          <w:sz w:val="24"/>
          <w:szCs w:val="24"/>
        </w:rPr>
        <w:t xml:space="preserve">A aplicação das sanções realizar-se-á em processo administrativo que assegure o contraditório e a ampla defesa ao Contratado, observando-se o procedimento previsto no </w:t>
      </w:r>
      <w:r w:rsidRPr="00E15812">
        <w:rPr>
          <w:rFonts w:ascii="Century Gothic" w:eastAsia="Calibri" w:hAnsi="Century Gothic" w:cs="Calibri"/>
          <w:i/>
          <w:iCs/>
          <w:color w:val="000000"/>
          <w:sz w:val="24"/>
          <w:szCs w:val="24"/>
        </w:rPr>
        <w:t>caput</w:t>
      </w:r>
      <w:r w:rsidRPr="00E15812">
        <w:rPr>
          <w:rFonts w:ascii="Century Gothic" w:eastAsia="Calibri" w:hAnsi="Century Gothic" w:cs="Calibri"/>
          <w:color w:val="000000"/>
          <w:sz w:val="24"/>
          <w:szCs w:val="24"/>
        </w:rPr>
        <w:t xml:space="preserve"> e parágrafos do art. 158 da Lei nº 14.133, de 2021. </w:t>
      </w:r>
    </w:p>
    <w:p w14:paraId="68D006DC" w14:textId="77777777" w:rsidR="00A21D6E" w:rsidRDefault="00A21D6E" w:rsidP="00A21D6E">
      <w:pPr>
        <w:spacing w:line="360" w:lineRule="auto"/>
        <w:jc w:val="both"/>
        <w:rPr>
          <w:rFonts w:ascii="Century Gothic" w:eastAsia="Calibri" w:hAnsi="Century Gothic" w:cs="Calibri"/>
          <w:color w:val="000000"/>
          <w:sz w:val="24"/>
          <w:szCs w:val="24"/>
        </w:rPr>
      </w:pPr>
      <w:r>
        <w:rPr>
          <w:rFonts w:ascii="Century Gothic" w:eastAsia="Calibri" w:hAnsi="Century Gothic" w:cs="Calibri"/>
          <w:color w:val="000000"/>
          <w:sz w:val="24"/>
          <w:szCs w:val="24"/>
        </w:rPr>
        <w:t xml:space="preserve">10.9. </w:t>
      </w:r>
      <w:r w:rsidRPr="00E15812">
        <w:rPr>
          <w:rFonts w:ascii="Century Gothic" w:eastAsia="Calibri" w:hAnsi="Century Gothic" w:cs="Calibri"/>
          <w:color w:val="000000"/>
          <w:sz w:val="24"/>
          <w:szCs w:val="24"/>
        </w:rPr>
        <w:t>Serão observadas as demais disposições legais aplicáveis ao procedimento de aplicação de penalidades decorrentes de infrações administrativas.</w:t>
      </w:r>
    </w:p>
    <w:p w14:paraId="0FA410D9" w14:textId="77777777" w:rsidR="00A21D6E" w:rsidRDefault="00A21D6E" w:rsidP="00A21D6E">
      <w:pPr>
        <w:shd w:val="clear" w:color="auto" w:fill="BFBFBF" w:themeFill="background1" w:themeFillShade="BF"/>
        <w:spacing w:line="360" w:lineRule="auto"/>
        <w:rPr>
          <w:rFonts w:ascii="Century Gothic" w:eastAsia="Calibri" w:hAnsi="Century Gothic" w:cs="Calibri"/>
          <w:b/>
          <w:bCs/>
          <w:sz w:val="24"/>
          <w:szCs w:val="24"/>
        </w:rPr>
      </w:pPr>
    </w:p>
    <w:p w14:paraId="24271007" w14:textId="77777777" w:rsidR="00A21D6E" w:rsidRPr="00DF2314" w:rsidRDefault="00A21D6E" w:rsidP="00A21D6E">
      <w:pPr>
        <w:shd w:val="clear" w:color="auto" w:fill="BFBFBF" w:themeFill="background1" w:themeFillShade="BF"/>
        <w:spacing w:line="360" w:lineRule="auto"/>
        <w:rPr>
          <w:rFonts w:ascii="Century Gothic" w:hAnsi="Century Gothic"/>
          <w:b/>
          <w:bCs/>
          <w:color w:val="000000" w:themeColor="text1"/>
          <w:sz w:val="24"/>
          <w:szCs w:val="24"/>
        </w:rPr>
      </w:pPr>
      <w:r w:rsidRPr="00EB43A3">
        <w:rPr>
          <w:rFonts w:ascii="Century Gothic" w:eastAsia="Calibri" w:hAnsi="Century Gothic" w:cs="Calibri"/>
          <w:b/>
          <w:bCs/>
          <w:sz w:val="24"/>
          <w:szCs w:val="24"/>
        </w:rPr>
        <w:t xml:space="preserve">11. </w:t>
      </w:r>
      <w:r w:rsidRPr="00EB43A3">
        <w:rPr>
          <w:rFonts w:ascii="Century Gothic" w:hAnsi="Century Gothic"/>
          <w:b/>
          <w:bCs/>
          <w:sz w:val="24"/>
          <w:szCs w:val="24"/>
        </w:rPr>
        <w:t xml:space="preserve">FORMA E CRITÉRIOS DE SELEÇÃO DO FORNECEDOR (art. 6º, inciso XXIII, alínea ‘h’, da </w:t>
      </w:r>
      <w:r w:rsidRPr="00DF2314">
        <w:rPr>
          <w:rFonts w:ascii="Century Gothic" w:hAnsi="Century Gothic"/>
          <w:b/>
          <w:bCs/>
          <w:color w:val="000000" w:themeColor="text1"/>
          <w:sz w:val="24"/>
          <w:szCs w:val="24"/>
        </w:rPr>
        <w:t>Lei nº 14.133/2021):</w:t>
      </w:r>
    </w:p>
    <w:p w14:paraId="099EA30E" w14:textId="77777777" w:rsidR="00A21D6E" w:rsidRDefault="00A21D6E" w:rsidP="00A21D6E">
      <w:pPr>
        <w:spacing w:line="360" w:lineRule="auto"/>
        <w:jc w:val="both"/>
        <w:rPr>
          <w:rFonts w:ascii="Century Gothic" w:hAnsi="Century Gothic"/>
          <w:sz w:val="24"/>
          <w:szCs w:val="24"/>
        </w:rPr>
      </w:pPr>
      <w:r w:rsidRPr="00DF2314">
        <w:rPr>
          <w:rFonts w:ascii="Century Gothic" w:hAnsi="Century Gothic"/>
          <w:color w:val="000000" w:themeColor="text1"/>
          <w:sz w:val="24"/>
          <w:szCs w:val="24"/>
        </w:rPr>
        <w:t xml:space="preserve">11.1. O fornecedor será selecionado por meio da realização de procedimento de dispensa de licitação, com fundamento na hipótese do ou do art. 75, inciso I, da Lei nº </w:t>
      </w:r>
      <w:r w:rsidRPr="00EB43A3">
        <w:rPr>
          <w:rFonts w:ascii="Century Gothic" w:hAnsi="Century Gothic"/>
          <w:sz w:val="24"/>
          <w:szCs w:val="24"/>
        </w:rPr>
        <w:t>14.133/2021</w:t>
      </w:r>
      <w:r>
        <w:rPr>
          <w:rFonts w:ascii="Century Gothic" w:hAnsi="Century Gothic"/>
          <w:sz w:val="24"/>
          <w:szCs w:val="24"/>
        </w:rPr>
        <w:t>, utilizando-se como critério o menor preço apresentado.</w:t>
      </w:r>
    </w:p>
    <w:p w14:paraId="25E200A4"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11.2. O fornecedor escolhido deverá cumprir os seguintes requisitos de habilitação:</w:t>
      </w:r>
    </w:p>
    <w:p w14:paraId="6A3F6207" w14:textId="77777777" w:rsidR="00A21D6E" w:rsidRDefault="00A21D6E" w:rsidP="00A21D6E">
      <w:pPr>
        <w:spacing w:line="360" w:lineRule="auto"/>
        <w:jc w:val="both"/>
        <w:rPr>
          <w:rFonts w:ascii="Century Gothic" w:hAnsi="Century Gothic"/>
          <w:b/>
          <w:bCs/>
          <w:sz w:val="24"/>
          <w:szCs w:val="24"/>
        </w:rPr>
      </w:pPr>
    </w:p>
    <w:p w14:paraId="1CA08734" w14:textId="77777777" w:rsidR="00A21D6E" w:rsidRPr="00A66A35" w:rsidRDefault="00A21D6E" w:rsidP="00A21D6E">
      <w:pPr>
        <w:spacing w:line="360" w:lineRule="auto"/>
        <w:jc w:val="both"/>
        <w:rPr>
          <w:rFonts w:ascii="Century Gothic" w:hAnsi="Century Gothic"/>
          <w:b/>
          <w:bCs/>
          <w:sz w:val="24"/>
          <w:szCs w:val="24"/>
        </w:rPr>
      </w:pPr>
      <w:r w:rsidRPr="00A66A35">
        <w:rPr>
          <w:rFonts w:ascii="Century Gothic" w:hAnsi="Century Gothic"/>
          <w:b/>
          <w:bCs/>
          <w:sz w:val="24"/>
          <w:szCs w:val="24"/>
        </w:rPr>
        <w:t>Habilitação jurídica</w:t>
      </w:r>
    </w:p>
    <w:p w14:paraId="556F9581" w14:textId="77777777" w:rsidR="00A21D6E" w:rsidRPr="00A66A35" w:rsidRDefault="00A21D6E" w:rsidP="00A21D6E">
      <w:pPr>
        <w:spacing w:line="360" w:lineRule="auto"/>
        <w:jc w:val="both"/>
        <w:rPr>
          <w:rFonts w:ascii="Century Gothic" w:hAnsi="Century Gothic"/>
          <w:sz w:val="24"/>
          <w:szCs w:val="24"/>
        </w:rPr>
      </w:pPr>
      <w:bookmarkStart w:id="0" w:name="_Ref115800561"/>
      <w:r w:rsidRPr="00A66A35">
        <w:rPr>
          <w:rFonts w:ascii="Century Gothic" w:hAnsi="Century Gothic"/>
          <w:b/>
          <w:bCs/>
          <w:sz w:val="24"/>
          <w:szCs w:val="24"/>
        </w:rPr>
        <w:t>Pessoa física:</w:t>
      </w:r>
      <w:r w:rsidRPr="00A66A35">
        <w:rPr>
          <w:rFonts w:ascii="Century Gothic" w:hAnsi="Century Gothic"/>
          <w:sz w:val="24"/>
          <w:szCs w:val="24"/>
        </w:rPr>
        <w:t xml:space="preserve"> cédula de identidade (RG) ou documento equivalente que, por força de lei, tenha validade para fins de identificação em todo o território nacional;</w:t>
      </w:r>
      <w:bookmarkEnd w:id="0"/>
    </w:p>
    <w:p w14:paraId="34C757DF"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lastRenderedPageBreak/>
        <w:t>Empresário individual:</w:t>
      </w:r>
      <w:r w:rsidRPr="00A66A35">
        <w:rPr>
          <w:rFonts w:ascii="Century Gothic" w:hAnsi="Century Gothic"/>
          <w:sz w:val="24"/>
          <w:szCs w:val="24"/>
        </w:rPr>
        <w:t xml:space="preserve"> inscrição no Registro Público de Empresas Mercantis, a cargo da Junta Comercial da respectiva sede; </w:t>
      </w:r>
    </w:p>
    <w:p w14:paraId="5E82CFF7"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Microempreendedor Individual - MEI:</w:t>
      </w:r>
      <w:r w:rsidRPr="00A66A35">
        <w:rPr>
          <w:rFonts w:ascii="Century Gothic" w:hAnsi="Century Gothic"/>
          <w:sz w:val="24"/>
          <w:szCs w:val="24"/>
        </w:rPr>
        <w:t xml:space="preserve"> Certificado da Condição de Microempreendedor Individual - CCMEI, cuja aceitação ficará condicionada à verificação da autenticidade no sítio </w:t>
      </w:r>
      <w:hyperlink r:id="rId8" w:history="1">
        <w:r w:rsidRPr="00A66A35">
          <w:rPr>
            <w:rStyle w:val="Hyperlink"/>
            <w:rFonts w:ascii="Century Gothic" w:hAnsi="Century Gothic"/>
            <w:sz w:val="24"/>
            <w:szCs w:val="24"/>
          </w:rPr>
          <w:t>https://www.gov.br/empresas-e-negocios/pt-br/empreendedor</w:t>
        </w:r>
      </w:hyperlink>
      <w:r w:rsidRPr="00A66A35">
        <w:rPr>
          <w:rFonts w:ascii="Century Gothic" w:hAnsi="Century Gothic"/>
          <w:sz w:val="24"/>
          <w:szCs w:val="24"/>
        </w:rPr>
        <w:t xml:space="preserve">; </w:t>
      </w:r>
    </w:p>
    <w:p w14:paraId="5B711B48"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Sociedade empresária, sociedade limitada unipessoal – SLU ou sociedade identificada como empresa individual de responsabilidade limitada - EIRELI:</w:t>
      </w:r>
      <w:r w:rsidRPr="00A66A35">
        <w:rPr>
          <w:rFonts w:ascii="Century Gothic" w:hAnsi="Century Gothic"/>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1D309038"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Sociedade empresária estrangeira:</w:t>
      </w:r>
      <w:r w:rsidRPr="00A66A35">
        <w:rPr>
          <w:rFonts w:ascii="Century Gothic" w:hAnsi="Century Gothic"/>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9" w:history="1">
        <w:r w:rsidRPr="00A66A35">
          <w:rPr>
            <w:rStyle w:val="Hyperlink"/>
            <w:rFonts w:ascii="Century Gothic" w:hAnsi="Century Gothic"/>
            <w:sz w:val="24"/>
            <w:szCs w:val="24"/>
          </w:rPr>
          <w:t>Normativa DREI/ME n.º 77, de 18 de março de 2020</w:t>
        </w:r>
      </w:hyperlink>
      <w:r w:rsidRPr="00A66A35">
        <w:rPr>
          <w:rFonts w:ascii="Century Gothic" w:hAnsi="Century Gothic"/>
          <w:sz w:val="24"/>
          <w:szCs w:val="24"/>
        </w:rPr>
        <w:t>.</w:t>
      </w:r>
    </w:p>
    <w:p w14:paraId="6B197FDF"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 xml:space="preserve">Sociedade simples: </w:t>
      </w:r>
      <w:r w:rsidRPr="00A66A35">
        <w:rPr>
          <w:rFonts w:ascii="Century Gothic" w:hAnsi="Century Gothic"/>
          <w:sz w:val="24"/>
          <w:szCs w:val="24"/>
        </w:rPr>
        <w:t>inscrição do ato constitutivo no Registro Civil de Pessoas Jurídicas do local de sua sede, acompanhada de documento comprobatório de seus administradores;</w:t>
      </w:r>
    </w:p>
    <w:p w14:paraId="4C4B6B72"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Filial, sucursal ou agência de sociedade simples ou empresária:</w:t>
      </w:r>
      <w:r w:rsidRPr="00A66A35">
        <w:rPr>
          <w:rFonts w:ascii="Century Gothic" w:hAnsi="Century Gothic"/>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sidRPr="00A66A35">
        <w:rPr>
          <w:rFonts w:ascii="Century Gothic" w:hAnsi="Century Gothic"/>
          <w:sz w:val="24"/>
          <w:szCs w:val="24"/>
        </w:rPr>
        <w:t>Mercantis onde</w:t>
      </w:r>
      <w:bookmarkEnd w:id="1"/>
      <w:r w:rsidRPr="00A66A35">
        <w:rPr>
          <w:rFonts w:ascii="Century Gothic" w:hAnsi="Century Gothic"/>
          <w:sz w:val="24"/>
          <w:szCs w:val="24"/>
        </w:rPr>
        <w:t xml:space="preserve"> opera, com averbação no Registro onde tem sede a matriz</w:t>
      </w:r>
    </w:p>
    <w:p w14:paraId="0465E1BD"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Sociedade cooperativa:</w:t>
      </w:r>
      <w:r w:rsidRPr="00A66A35">
        <w:rPr>
          <w:rFonts w:ascii="Century Gothic" w:hAnsi="Century Gothic"/>
          <w:sz w:val="24"/>
          <w:szCs w:val="24"/>
        </w:rPr>
        <w:t xml:space="preserve"> ata de fundação e estatuto social, com a ata da assembleia que o aprovou, devidamente arquivado na Junta Comercial ou </w:t>
      </w:r>
      <w:r w:rsidRPr="00A66A35">
        <w:rPr>
          <w:rFonts w:ascii="Century Gothic" w:hAnsi="Century Gothic"/>
          <w:sz w:val="24"/>
          <w:szCs w:val="24"/>
        </w:rPr>
        <w:lastRenderedPageBreak/>
        <w:t xml:space="preserve">inscrito no Registro Civil das Pessoas Jurídicas da respectiva sede, além do registro de que trata o </w:t>
      </w:r>
      <w:hyperlink r:id="rId10" w:anchor="art107" w:history="1">
        <w:r w:rsidRPr="00A66A35">
          <w:rPr>
            <w:rStyle w:val="Hyperlink"/>
            <w:rFonts w:ascii="Century Gothic" w:hAnsi="Century Gothic"/>
            <w:sz w:val="24"/>
            <w:szCs w:val="24"/>
          </w:rPr>
          <w:t>art. 107 da Lei nº 5.764, de 16 de dezembro 1971</w:t>
        </w:r>
      </w:hyperlink>
      <w:r w:rsidRPr="00A66A35">
        <w:rPr>
          <w:rFonts w:ascii="Century Gothic" w:hAnsi="Century Gothic"/>
          <w:sz w:val="24"/>
          <w:szCs w:val="24"/>
        </w:rPr>
        <w:t>.</w:t>
      </w:r>
    </w:p>
    <w:p w14:paraId="5391C3A9"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Agricultor familiar:</w:t>
      </w:r>
      <w:r w:rsidRPr="00A66A35">
        <w:rPr>
          <w:rFonts w:ascii="Century Gothic" w:hAnsi="Century Gothic"/>
          <w:sz w:val="24"/>
          <w:szCs w:val="24"/>
        </w:rPr>
        <w:t xml:space="preserve"> Declaração de Aptidão ao Pronaf – DAP ou DAP-P válida, ou, ainda, outros documentos definidos pela Secretaria Especial de Agricultura Familiar e do Desenvolvimento Agrário, nos termos do</w:t>
      </w:r>
      <w:hyperlink r:id="rId11" w:anchor="art4§2" w:history="1">
        <w:r w:rsidRPr="00A66A35">
          <w:rPr>
            <w:rStyle w:val="Hyperlink"/>
            <w:rFonts w:ascii="Century Gothic" w:hAnsi="Century Gothic"/>
            <w:sz w:val="24"/>
            <w:szCs w:val="24"/>
          </w:rPr>
          <w:t xml:space="preserve"> art. 4º, §2º do Decreto nº 10.880, de 2 de dezembro de 2021</w:t>
        </w:r>
      </w:hyperlink>
      <w:r w:rsidRPr="00A66A35">
        <w:rPr>
          <w:rFonts w:ascii="Century Gothic" w:hAnsi="Century Gothic"/>
          <w:sz w:val="24"/>
          <w:szCs w:val="24"/>
        </w:rPr>
        <w:t>.</w:t>
      </w:r>
    </w:p>
    <w:p w14:paraId="1A0C067C" w14:textId="77777777" w:rsidR="00A21D6E" w:rsidRPr="00A66A35" w:rsidRDefault="00A21D6E" w:rsidP="00A21D6E">
      <w:pPr>
        <w:spacing w:line="360" w:lineRule="auto"/>
        <w:jc w:val="both"/>
        <w:rPr>
          <w:rFonts w:ascii="Century Gothic" w:hAnsi="Century Gothic"/>
          <w:sz w:val="24"/>
          <w:szCs w:val="24"/>
        </w:rPr>
      </w:pPr>
      <w:r w:rsidRPr="00A66A35">
        <w:rPr>
          <w:rFonts w:ascii="Century Gothic" w:hAnsi="Century Gothic"/>
          <w:b/>
          <w:bCs/>
          <w:sz w:val="24"/>
          <w:szCs w:val="24"/>
        </w:rPr>
        <w:t>Produtor Rural:</w:t>
      </w:r>
      <w:r w:rsidRPr="00A66A35">
        <w:rPr>
          <w:rFonts w:ascii="Century Gothic" w:hAnsi="Century Gothic"/>
          <w:sz w:val="24"/>
          <w:szCs w:val="24"/>
        </w:rPr>
        <w:t xml:space="preserve"> matrícula no Cadastro Específico do INSS – CEI, que comprove a qualificação como produtor rural pessoa física, nos termos da </w:t>
      </w:r>
      <w:hyperlink r:id="rId12" w:history="1">
        <w:r w:rsidRPr="00A66A35">
          <w:rPr>
            <w:rStyle w:val="Hyperlink"/>
            <w:rFonts w:ascii="Century Gothic" w:hAnsi="Century Gothic"/>
            <w:sz w:val="24"/>
            <w:szCs w:val="24"/>
          </w:rPr>
          <w:t>Instrução Normativa RFB n. 971, de 13 de novembro de 2009</w:t>
        </w:r>
      </w:hyperlink>
      <w:r w:rsidRPr="00A66A35">
        <w:rPr>
          <w:rFonts w:ascii="Century Gothic" w:hAnsi="Century Gothic"/>
          <w:sz w:val="24"/>
          <w:szCs w:val="24"/>
        </w:rPr>
        <w:t xml:space="preserve"> (</w:t>
      </w:r>
      <w:proofErr w:type="spellStart"/>
      <w:r w:rsidRPr="00A66A35">
        <w:rPr>
          <w:rFonts w:ascii="Century Gothic" w:hAnsi="Century Gothic"/>
          <w:sz w:val="24"/>
          <w:szCs w:val="24"/>
        </w:rPr>
        <w:t>arts</w:t>
      </w:r>
      <w:proofErr w:type="spellEnd"/>
      <w:r w:rsidRPr="00A66A35">
        <w:rPr>
          <w:rFonts w:ascii="Century Gothic" w:hAnsi="Century Gothic"/>
          <w:sz w:val="24"/>
          <w:szCs w:val="24"/>
        </w:rPr>
        <w:t>. 17 a 19 e 165).</w:t>
      </w:r>
    </w:p>
    <w:p w14:paraId="5A617F96"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Os documentos apresentados deverão estar acompanhados de todas as alterações ou da consolidação respectiva.</w:t>
      </w:r>
    </w:p>
    <w:p w14:paraId="696894B3" w14:textId="77777777" w:rsidR="00A21D6E" w:rsidRDefault="00A21D6E" w:rsidP="00A21D6E">
      <w:pPr>
        <w:spacing w:line="360" w:lineRule="auto"/>
        <w:jc w:val="both"/>
        <w:rPr>
          <w:rFonts w:ascii="Century Gothic" w:hAnsi="Century Gothic"/>
          <w:b/>
          <w:bCs/>
          <w:sz w:val="24"/>
          <w:szCs w:val="24"/>
        </w:rPr>
      </w:pPr>
    </w:p>
    <w:p w14:paraId="6C1D96DA" w14:textId="77777777" w:rsidR="00A21D6E" w:rsidRPr="005F3C81" w:rsidRDefault="00A21D6E" w:rsidP="00A21D6E">
      <w:pPr>
        <w:spacing w:line="360" w:lineRule="auto"/>
        <w:jc w:val="both"/>
        <w:rPr>
          <w:rFonts w:ascii="Century Gothic" w:hAnsi="Century Gothic"/>
          <w:b/>
          <w:bCs/>
          <w:sz w:val="24"/>
          <w:szCs w:val="24"/>
        </w:rPr>
      </w:pPr>
      <w:r w:rsidRPr="005F3C81">
        <w:rPr>
          <w:rFonts w:ascii="Century Gothic" w:hAnsi="Century Gothic"/>
          <w:b/>
          <w:bCs/>
          <w:sz w:val="24"/>
          <w:szCs w:val="24"/>
        </w:rPr>
        <w:t>Habilitação fiscal, social e trabalhista</w:t>
      </w:r>
    </w:p>
    <w:p w14:paraId="463124C1"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Prova de inscrição no Cadastro Nacional de Pessoas Jurídicas ou no Cadastro de Pessoas Físicas, conforme o caso;</w:t>
      </w:r>
    </w:p>
    <w:p w14:paraId="665BC7D1" w14:textId="77777777" w:rsidR="00A21D6E" w:rsidRDefault="00A21D6E" w:rsidP="00A21D6E">
      <w:pPr>
        <w:spacing w:line="360" w:lineRule="auto"/>
        <w:jc w:val="both"/>
        <w:rPr>
          <w:rFonts w:ascii="Century Gothic" w:hAnsi="Century Gothic"/>
          <w:sz w:val="24"/>
          <w:szCs w:val="24"/>
        </w:rPr>
      </w:pPr>
    </w:p>
    <w:p w14:paraId="6A0D969B"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657B7EA" w14:textId="77777777" w:rsidR="00A21D6E" w:rsidRDefault="00A21D6E" w:rsidP="00A21D6E">
      <w:pPr>
        <w:spacing w:line="360" w:lineRule="auto"/>
        <w:jc w:val="both"/>
        <w:rPr>
          <w:rFonts w:ascii="Century Gothic" w:hAnsi="Century Gothic"/>
          <w:sz w:val="24"/>
          <w:szCs w:val="24"/>
        </w:rPr>
      </w:pPr>
    </w:p>
    <w:p w14:paraId="0E374C4D"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lastRenderedPageBreak/>
        <w:t>Prova de regularidade com o Fundo de Garantia do Tempo de Serviço (FGTS);</w:t>
      </w:r>
    </w:p>
    <w:p w14:paraId="7A76D39A" w14:textId="77777777" w:rsidR="00A21D6E" w:rsidRDefault="00A21D6E" w:rsidP="00A21D6E">
      <w:pPr>
        <w:spacing w:line="360" w:lineRule="auto"/>
        <w:jc w:val="both"/>
        <w:rPr>
          <w:rFonts w:ascii="Century Gothic" w:hAnsi="Century Gothic"/>
          <w:sz w:val="24"/>
          <w:szCs w:val="24"/>
        </w:rPr>
      </w:pPr>
    </w:p>
    <w:p w14:paraId="3BA0AC8A"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E07EBB3" w14:textId="77777777" w:rsidR="00A21D6E" w:rsidRDefault="00A21D6E" w:rsidP="00A21D6E">
      <w:pPr>
        <w:spacing w:line="360" w:lineRule="auto"/>
        <w:jc w:val="both"/>
        <w:rPr>
          <w:rFonts w:ascii="Century Gothic" w:hAnsi="Century Gothic"/>
          <w:sz w:val="24"/>
          <w:szCs w:val="24"/>
        </w:rPr>
      </w:pPr>
    </w:p>
    <w:p w14:paraId="30E9E308"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 xml:space="preserve">Prova de inscrição no cadastro de contribuintes </w:t>
      </w:r>
      <w:r w:rsidRPr="008E0AE5">
        <w:rPr>
          <w:rFonts w:ascii="Century Gothic" w:hAnsi="Century Gothic"/>
          <w:i/>
          <w:iCs/>
          <w:sz w:val="24"/>
          <w:szCs w:val="24"/>
        </w:rPr>
        <w:t>[Estadual/Distrital]</w:t>
      </w:r>
      <w:r w:rsidRPr="008E0AE5">
        <w:rPr>
          <w:rFonts w:ascii="Century Gothic" w:hAnsi="Century Gothic"/>
          <w:sz w:val="24"/>
          <w:szCs w:val="24"/>
        </w:rPr>
        <w:t xml:space="preserve"> ou </w:t>
      </w:r>
      <w:r w:rsidRPr="008E0AE5">
        <w:rPr>
          <w:rFonts w:ascii="Century Gothic" w:hAnsi="Century Gothic"/>
          <w:i/>
          <w:iCs/>
          <w:sz w:val="24"/>
          <w:szCs w:val="24"/>
        </w:rPr>
        <w:t>[Municipal/Distrital]</w:t>
      </w:r>
      <w:r w:rsidRPr="008E0AE5">
        <w:rPr>
          <w:rFonts w:ascii="Century Gothic" w:hAnsi="Century Gothic"/>
          <w:sz w:val="24"/>
          <w:szCs w:val="24"/>
        </w:rPr>
        <w:t xml:space="preserve"> relativo ao domicílio ou sede do fornecedor, pertinente ao seu ramo de atividade e compatível com o objeto contratual; </w:t>
      </w:r>
    </w:p>
    <w:p w14:paraId="17B77BCE" w14:textId="77777777" w:rsidR="00A21D6E" w:rsidRDefault="00A21D6E" w:rsidP="00A21D6E">
      <w:pPr>
        <w:spacing w:line="360" w:lineRule="auto"/>
        <w:jc w:val="both"/>
        <w:rPr>
          <w:rFonts w:ascii="Century Gothic" w:hAnsi="Century Gothic"/>
          <w:sz w:val="24"/>
          <w:szCs w:val="24"/>
        </w:rPr>
      </w:pPr>
    </w:p>
    <w:p w14:paraId="751555C4"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 xml:space="preserve">Prova de regularidade com a Fazenda </w:t>
      </w:r>
      <w:r w:rsidRPr="008E0AE5">
        <w:rPr>
          <w:rFonts w:ascii="Century Gothic" w:hAnsi="Century Gothic"/>
          <w:i/>
          <w:iCs/>
          <w:sz w:val="24"/>
          <w:szCs w:val="24"/>
        </w:rPr>
        <w:t>[Estadual/Distrital] ou [Municipal/Distrital]</w:t>
      </w:r>
      <w:r w:rsidRPr="008E0AE5">
        <w:rPr>
          <w:rFonts w:ascii="Century Gothic" w:hAnsi="Century Gothic"/>
          <w:sz w:val="24"/>
          <w:szCs w:val="24"/>
        </w:rPr>
        <w:t xml:space="preserve"> do domicílio ou sede do fornecedor, relativa à atividade em cujo exercício contrata ou concorre;</w:t>
      </w:r>
    </w:p>
    <w:p w14:paraId="4E88286E" w14:textId="77777777" w:rsidR="00A21D6E" w:rsidRDefault="00A21D6E" w:rsidP="00A21D6E">
      <w:pPr>
        <w:spacing w:line="360" w:lineRule="auto"/>
        <w:jc w:val="both"/>
        <w:rPr>
          <w:rFonts w:ascii="Century Gothic" w:hAnsi="Century Gothic"/>
          <w:sz w:val="24"/>
          <w:szCs w:val="24"/>
        </w:rPr>
      </w:pPr>
    </w:p>
    <w:p w14:paraId="5883D0E9"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 xml:space="preserve">Caso o fornecedor seja considerado isento dos tributos </w:t>
      </w:r>
      <w:r w:rsidRPr="008E0AE5">
        <w:rPr>
          <w:rFonts w:ascii="Century Gothic" w:hAnsi="Century Gothic"/>
          <w:i/>
          <w:iCs/>
          <w:sz w:val="24"/>
          <w:szCs w:val="24"/>
        </w:rPr>
        <w:t>[Estadual/Distrital] ou [Municipal/Distrital]</w:t>
      </w:r>
      <w:r w:rsidRPr="008E0AE5">
        <w:rPr>
          <w:rFonts w:ascii="Century Gothic" w:hAnsi="Century Gothic"/>
          <w:sz w:val="24"/>
          <w:szCs w:val="24"/>
        </w:rPr>
        <w:t xml:space="preserve"> relacionados ao objeto contratual, deverá comprovar tal condição mediante a apresentação de declaração da Fazenda respectiva do seu domicílio ou sede, ou outra equivalente, na forma da lei.</w:t>
      </w:r>
    </w:p>
    <w:p w14:paraId="53F26963" w14:textId="77777777" w:rsidR="00A21D6E" w:rsidRDefault="00A21D6E" w:rsidP="00A21D6E">
      <w:pPr>
        <w:spacing w:line="360" w:lineRule="auto"/>
        <w:jc w:val="both"/>
        <w:rPr>
          <w:rFonts w:ascii="Century Gothic" w:hAnsi="Century Gothic"/>
          <w:sz w:val="24"/>
          <w:szCs w:val="24"/>
        </w:rPr>
      </w:pPr>
    </w:p>
    <w:p w14:paraId="15C1E6A4" w14:textId="77777777" w:rsidR="00A21D6E" w:rsidRPr="008E0AE5" w:rsidRDefault="00A21D6E" w:rsidP="00A21D6E">
      <w:pPr>
        <w:spacing w:line="360" w:lineRule="auto"/>
        <w:jc w:val="both"/>
        <w:rPr>
          <w:rFonts w:ascii="Century Gothic" w:hAnsi="Century Gothic"/>
          <w:sz w:val="24"/>
          <w:szCs w:val="24"/>
        </w:rPr>
      </w:pPr>
      <w:r w:rsidRPr="008E0AE5">
        <w:rPr>
          <w:rFonts w:ascii="Century Gothic" w:hAnsi="Century Gothic"/>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AB9D5BA" w14:textId="77777777" w:rsidR="00A21D6E" w:rsidRDefault="00A21D6E" w:rsidP="00A21D6E">
      <w:pPr>
        <w:spacing w:line="360" w:lineRule="auto"/>
        <w:jc w:val="both"/>
        <w:rPr>
          <w:rFonts w:ascii="Century Gothic" w:hAnsi="Century Gothic"/>
          <w:b/>
          <w:bCs/>
          <w:sz w:val="24"/>
          <w:szCs w:val="24"/>
        </w:rPr>
      </w:pPr>
    </w:p>
    <w:p w14:paraId="56492A98" w14:textId="77777777" w:rsidR="00A21D6E" w:rsidRPr="005F3C81" w:rsidRDefault="00A21D6E" w:rsidP="00A21D6E">
      <w:pPr>
        <w:spacing w:line="360" w:lineRule="auto"/>
        <w:jc w:val="both"/>
        <w:rPr>
          <w:rFonts w:ascii="Century Gothic" w:hAnsi="Century Gothic"/>
          <w:b/>
          <w:bCs/>
          <w:sz w:val="24"/>
          <w:szCs w:val="24"/>
        </w:rPr>
      </w:pPr>
      <w:r w:rsidRPr="005F3C81">
        <w:rPr>
          <w:rFonts w:ascii="Century Gothic" w:hAnsi="Century Gothic"/>
          <w:b/>
          <w:bCs/>
          <w:sz w:val="24"/>
          <w:szCs w:val="24"/>
        </w:rPr>
        <w:lastRenderedPageBreak/>
        <w:t>Qualificação Econômico-Financeira</w:t>
      </w:r>
    </w:p>
    <w:p w14:paraId="4FF3E3E2" w14:textId="77777777" w:rsidR="00A21D6E" w:rsidRPr="005F3C81" w:rsidRDefault="00A21D6E" w:rsidP="00A21D6E">
      <w:pPr>
        <w:spacing w:line="360" w:lineRule="auto"/>
        <w:jc w:val="both"/>
        <w:rPr>
          <w:rFonts w:ascii="Century Gothic" w:hAnsi="Century Gothic"/>
          <w:sz w:val="24"/>
          <w:szCs w:val="24"/>
        </w:rPr>
      </w:pPr>
      <w:r w:rsidRPr="005F3C81">
        <w:rPr>
          <w:rFonts w:ascii="Century Gothic" w:hAnsi="Century Gothic"/>
          <w:sz w:val="24"/>
          <w:szCs w:val="24"/>
        </w:rPr>
        <w:t>Certidão negativa de insolvência civil expedida pelo distribuidor do domicílio ou sede do licitante, caso se trate de pessoa física, desde que admitida a sua participação na licitação (</w:t>
      </w:r>
      <w:hyperlink r:id="rId13" w:anchor="art5" w:history="1">
        <w:r w:rsidRPr="005F3C81">
          <w:rPr>
            <w:rStyle w:val="Hyperlink"/>
            <w:rFonts w:ascii="Century Gothic" w:hAnsi="Century Gothic"/>
            <w:sz w:val="24"/>
            <w:szCs w:val="24"/>
          </w:rPr>
          <w:t>art. 5º, inciso II, alínea “c”, da Instrução Normativa Seges/ME nº 116, de 2021</w:t>
        </w:r>
      </w:hyperlink>
      <w:r w:rsidRPr="005F3C81">
        <w:rPr>
          <w:rFonts w:ascii="Century Gothic" w:hAnsi="Century Gothic"/>
          <w:sz w:val="24"/>
          <w:szCs w:val="24"/>
        </w:rPr>
        <w:t xml:space="preserve">), ou de sociedade simples; </w:t>
      </w:r>
    </w:p>
    <w:p w14:paraId="5A7A26B2"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 xml:space="preserve">Certidão negativa de falência expedida pelo distribuidor da sede do fornecedor - </w:t>
      </w:r>
      <w:hyperlink r:id="rId14" w:anchor="art69" w:history="1">
        <w:r w:rsidRPr="006B1986">
          <w:rPr>
            <w:rStyle w:val="Hyperlink"/>
            <w:rFonts w:ascii="Century Gothic" w:hAnsi="Century Gothic"/>
            <w:color w:val="000000" w:themeColor="text1"/>
            <w:sz w:val="24"/>
            <w:szCs w:val="24"/>
          </w:rPr>
          <w:t>Lei nº 14.133, de 2021, art. 69, caput, inciso II</w:t>
        </w:r>
      </w:hyperlink>
      <w:r w:rsidRPr="006B1986">
        <w:rPr>
          <w:rFonts w:ascii="Century Gothic" w:hAnsi="Century Gothic"/>
          <w:color w:val="000000" w:themeColor="text1"/>
          <w:sz w:val="24"/>
          <w:szCs w:val="24"/>
        </w:rPr>
        <w:t>);</w:t>
      </w:r>
    </w:p>
    <w:p w14:paraId="1B2B7373"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6CF8D51F"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I - Liquidez Geral (LG) = (Ativo Circulante + Realizável a Longo Prazo)/(Passivo Circulante + Passivo Não Circulante);</w:t>
      </w:r>
    </w:p>
    <w:p w14:paraId="2114F801"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II - Solvência Geral (SG)= (Ativo Total)/(Passivo Circulante +Passivo não Circulante); e</w:t>
      </w:r>
    </w:p>
    <w:p w14:paraId="3C7B0E03"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III - Liquidez Corrente (LC) = (Ativo Circulante)/(Passivo Circulante).</w:t>
      </w:r>
    </w:p>
    <w:p w14:paraId="57D56626"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Caso a empresa licitante apresente resultado inferior ou igual a 1 (um) em qualquer dos índices de Liquidez Geral (LG), Solvência Geral (SG) e Liquidez Corrente (LC), será exigido para fins de habilitação capital mínimo ou patrimônio líquido mínimo de 10 % [até 10%] do valor total estimado da contratação ou do valor total estimado dos itens em que for vencedor.</w:t>
      </w:r>
    </w:p>
    <w:p w14:paraId="30BCB093"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As empresas criadas no exercício financeiro da licitação deverão atender a todas as exigências da habilitação e poderão substituir os demonstrativos contábeis pelo balanço de abertura. (Lei nº 14.133, de 2021, art. 65, §1º).</w:t>
      </w:r>
    </w:p>
    <w:p w14:paraId="51CEB90A"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lastRenderedPageBreak/>
        <w:t>O balanço patrimonial, demonstração de resultado de exercício e demais demonstrações contábeis limitar-se-ão ao último exercício no caso de a pessoa jurídica ter sido constituída há menos de 2 (dois) anos. (Lei nº 14.133, de 2021, art. 69, §6º)</w:t>
      </w:r>
    </w:p>
    <w:p w14:paraId="029D92F9" w14:textId="77777777" w:rsidR="00A21D6E" w:rsidRPr="006B1986" w:rsidRDefault="00A21D6E" w:rsidP="00A21D6E">
      <w:pPr>
        <w:spacing w:line="360" w:lineRule="auto"/>
        <w:jc w:val="both"/>
        <w:rPr>
          <w:rFonts w:ascii="Century Gothic" w:hAnsi="Century Gothic"/>
          <w:color w:val="000000" w:themeColor="text1"/>
          <w:sz w:val="24"/>
          <w:szCs w:val="24"/>
        </w:rPr>
      </w:pPr>
      <w:r w:rsidRPr="006B1986">
        <w:rPr>
          <w:rFonts w:ascii="Century Gothic" w:hAnsi="Century Gothic"/>
          <w:color w:val="000000" w:themeColor="text1"/>
          <w:sz w:val="24"/>
          <w:szCs w:val="24"/>
        </w:rPr>
        <w:t>O atendimento dos índices econômicos previstos neste item deverá ser atestado mediante declaração assinada por profissional habilitado da área contábil, apresentada pelo fornecedor.</w:t>
      </w:r>
    </w:p>
    <w:p w14:paraId="721C01DE" w14:textId="77777777" w:rsidR="00A21D6E" w:rsidRDefault="00A21D6E" w:rsidP="00A21D6E">
      <w:pPr>
        <w:spacing w:line="360" w:lineRule="auto"/>
        <w:jc w:val="both"/>
        <w:rPr>
          <w:rFonts w:ascii="Century Gothic" w:hAnsi="Century Gothic"/>
          <w:b/>
          <w:bCs/>
          <w:sz w:val="24"/>
          <w:szCs w:val="24"/>
        </w:rPr>
      </w:pPr>
    </w:p>
    <w:p w14:paraId="37809052" w14:textId="77777777" w:rsidR="00A21D6E" w:rsidRPr="005F3C81" w:rsidRDefault="00A21D6E" w:rsidP="00A21D6E">
      <w:pPr>
        <w:spacing w:line="360" w:lineRule="auto"/>
        <w:jc w:val="both"/>
        <w:rPr>
          <w:rFonts w:ascii="Century Gothic" w:hAnsi="Century Gothic"/>
          <w:b/>
          <w:bCs/>
          <w:sz w:val="24"/>
          <w:szCs w:val="24"/>
        </w:rPr>
      </w:pPr>
      <w:r w:rsidRPr="005F3C81">
        <w:rPr>
          <w:rFonts w:ascii="Century Gothic" w:hAnsi="Century Gothic"/>
          <w:b/>
          <w:bCs/>
          <w:sz w:val="24"/>
          <w:szCs w:val="24"/>
        </w:rPr>
        <w:t>Qualificação Técnica</w:t>
      </w:r>
    </w:p>
    <w:p w14:paraId="5A2D6F22" w14:textId="55C02C05"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 xml:space="preserve">Comprovação de aptidão técnico-profissional por meio de </w:t>
      </w:r>
      <w:r w:rsidRPr="005F3C81">
        <w:rPr>
          <w:rFonts w:ascii="Century Gothic" w:hAnsi="Century Gothic"/>
          <w:sz w:val="24"/>
          <w:szCs w:val="24"/>
        </w:rPr>
        <w:t xml:space="preserve">Registro ou inscrição </w:t>
      </w:r>
      <w:r w:rsidR="0020079D">
        <w:rPr>
          <w:rFonts w:ascii="Century Gothic" w:hAnsi="Century Gothic"/>
          <w:sz w:val="24"/>
          <w:szCs w:val="24"/>
        </w:rPr>
        <w:t xml:space="preserve">da empresa </w:t>
      </w:r>
      <w:r>
        <w:rPr>
          <w:rFonts w:ascii="Century Gothic" w:hAnsi="Century Gothic"/>
          <w:sz w:val="24"/>
          <w:szCs w:val="24"/>
        </w:rPr>
        <w:t>de profissionais da contratada</w:t>
      </w:r>
      <w:r w:rsidRPr="005F3C81">
        <w:rPr>
          <w:rFonts w:ascii="Century Gothic" w:hAnsi="Century Gothic"/>
          <w:sz w:val="24"/>
          <w:szCs w:val="24"/>
        </w:rPr>
        <w:t xml:space="preserve"> na entidade profissional competente em plena validade</w:t>
      </w:r>
      <w:r>
        <w:rPr>
          <w:rFonts w:ascii="Century Gothic" w:hAnsi="Century Gothic"/>
          <w:sz w:val="24"/>
          <w:szCs w:val="24"/>
        </w:rPr>
        <w:t xml:space="preserve"> (CREA/CAU)</w:t>
      </w:r>
      <w:r w:rsidRPr="005F3C81">
        <w:rPr>
          <w:rFonts w:ascii="Century Gothic" w:hAnsi="Century Gothic"/>
          <w:sz w:val="24"/>
          <w:szCs w:val="24"/>
        </w:rPr>
        <w:t>;</w:t>
      </w:r>
      <w:r>
        <w:rPr>
          <w:rFonts w:ascii="Century Gothic" w:hAnsi="Century Gothic"/>
          <w:sz w:val="24"/>
          <w:szCs w:val="24"/>
        </w:rPr>
        <w:t xml:space="preserve"> (art. 67, inc. I, da Lei nº 14.133/2021)</w:t>
      </w:r>
    </w:p>
    <w:p w14:paraId="2C5BC91C" w14:textId="77777777" w:rsidR="00E34CDD" w:rsidRDefault="00E34CDD" w:rsidP="00E34CDD">
      <w:pPr>
        <w:spacing w:line="360" w:lineRule="auto"/>
        <w:jc w:val="both"/>
        <w:rPr>
          <w:rFonts w:ascii="Century Gothic" w:hAnsi="Century Gothic"/>
          <w:sz w:val="24"/>
          <w:szCs w:val="24"/>
        </w:rPr>
      </w:pPr>
      <w:r w:rsidRPr="00E34CDD">
        <w:rPr>
          <w:rFonts w:ascii="Century Gothic" w:hAnsi="Century Gothic"/>
          <w:sz w:val="24"/>
          <w:szCs w:val="24"/>
        </w:rPr>
        <w:t xml:space="preserve">Registro ou inscrição, no Conselho Regional de Engenharia e Agronomia – CREA </w:t>
      </w:r>
      <w:r w:rsidRPr="00E34CDD">
        <w:rPr>
          <w:rFonts w:ascii="Century Gothic" w:hAnsi="Century Gothic"/>
          <w:bCs/>
          <w:sz w:val="24"/>
          <w:szCs w:val="24"/>
        </w:rPr>
        <w:t>ou</w:t>
      </w:r>
      <w:r w:rsidRPr="00E34CDD">
        <w:rPr>
          <w:rFonts w:ascii="Century Gothic" w:hAnsi="Century Gothic"/>
          <w:sz w:val="24"/>
          <w:szCs w:val="24"/>
        </w:rPr>
        <w:t xml:space="preserve"> no Conselho de Arquitetura e Urbanismo CAU, da empresa licitante e de seu (s) responsável (</w:t>
      </w:r>
      <w:proofErr w:type="spellStart"/>
      <w:r w:rsidRPr="00E34CDD">
        <w:rPr>
          <w:rFonts w:ascii="Century Gothic" w:hAnsi="Century Gothic"/>
          <w:sz w:val="24"/>
          <w:szCs w:val="24"/>
        </w:rPr>
        <w:t>is</w:t>
      </w:r>
      <w:proofErr w:type="spellEnd"/>
      <w:r w:rsidRPr="00E34CDD">
        <w:rPr>
          <w:rFonts w:ascii="Century Gothic" w:hAnsi="Century Gothic"/>
          <w:sz w:val="24"/>
          <w:szCs w:val="24"/>
        </w:rPr>
        <w:t>) técnico (s), da região a que estiverem vinculados.</w:t>
      </w:r>
    </w:p>
    <w:p w14:paraId="699F362C" w14:textId="6C9507DE" w:rsidR="00E34CDD" w:rsidRPr="00E34CDD" w:rsidRDefault="00E34CDD" w:rsidP="00E34CDD">
      <w:pPr>
        <w:spacing w:line="360" w:lineRule="auto"/>
        <w:jc w:val="both"/>
        <w:rPr>
          <w:rFonts w:ascii="Century Gothic" w:hAnsi="Century Gothic"/>
          <w:sz w:val="24"/>
          <w:szCs w:val="24"/>
        </w:rPr>
      </w:pPr>
      <w:r w:rsidRPr="00E34CDD">
        <w:rPr>
          <w:rFonts w:ascii="Century Gothic" w:hAnsi="Century Gothic"/>
          <w:sz w:val="24"/>
          <w:szCs w:val="24"/>
          <w:u w:val="single"/>
        </w:rPr>
        <w:t xml:space="preserve">No caso de a empresa licitante ou o responsável técnico não serem registrados ou inscritos no CREA do Mato Grosso do Sul, deverão ser providenciados os respectivos vistos deste órgão regional por ocasião da assinatura do </w:t>
      </w:r>
      <w:r w:rsidRPr="00E34CDD">
        <w:rPr>
          <w:rFonts w:ascii="Century Gothic" w:hAnsi="Century Gothic"/>
          <w:b/>
          <w:bCs/>
          <w:sz w:val="24"/>
          <w:szCs w:val="24"/>
          <w:u w:val="single"/>
        </w:rPr>
        <w:t>CONTRATO</w:t>
      </w:r>
      <w:r w:rsidRPr="00E34CDD">
        <w:rPr>
          <w:rFonts w:ascii="Century Gothic" w:hAnsi="Century Gothic"/>
          <w:sz w:val="24"/>
          <w:szCs w:val="24"/>
          <w:u w:val="single"/>
        </w:rPr>
        <w:t>;</w:t>
      </w:r>
    </w:p>
    <w:p w14:paraId="7B2C662F" w14:textId="6ED46A9C" w:rsidR="009E02C1" w:rsidRPr="03864034" w:rsidRDefault="00A21D6E" w:rsidP="009E02C1">
      <w:pPr>
        <w:spacing w:line="360" w:lineRule="auto"/>
        <w:jc w:val="both"/>
        <w:rPr>
          <w:rFonts w:ascii="Century Gothic" w:hAnsi="Century Gothic"/>
          <w:sz w:val="24"/>
          <w:szCs w:val="24"/>
        </w:rPr>
      </w:pPr>
      <w:r w:rsidRPr="03864034">
        <w:rPr>
          <w:rFonts w:ascii="Century Gothic" w:hAnsi="Century Gothic"/>
          <w:sz w:val="24"/>
          <w:szCs w:val="24"/>
        </w:rPr>
        <w:t>Comprovação de aptidão técnico-operacional para execução do objeto conforme certidões ou atestados, regularmente emitidos pelo conselho profissional competente ou por outras pessoas de direito público ou privado, que demonstrem capacidade operacional na execução de serviços similares de complexidade tecnológica e operacional equivalente ou superior</w:t>
      </w:r>
      <w:r w:rsidR="00692CE9">
        <w:rPr>
          <w:rFonts w:ascii="Century Gothic" w:hAnsi="Century Gothic"/>
          <w:sz w:val="24"/>
          <w:szCs w:val="24"/>
        </w:rPr>
        <w:t xml:space="preserve">, </w:t>
      </w:r>
      <w:r w:rsidR="009E02C1" w:rsidRPr="009E02C1">
        <w:rPr>
          <w:rFonts w:ascii="Century Gothic" w:hAnsi="Century Gothic"/>
          <w:sz w:val="24"/>
          <w:szCs w:val="24"/>
        </w:rPr>
        <w:t>na(s) quantidade(s) mínima(s) relacionada(s) no quadro abaixo.</w:t>
      </w:r>
    </w:p>
    <w:p w14:paraId="1C0D40EC" w14:textId="6E1EB7FE" w:rsidR="00A21D6E" w:rsidRDefault="00A21D6E" w:rsidP="009E02C1">
      <w:pPr>
        <w:spacing w:line="360" w:lineRule="auto"/>
        <w:jc w:val="both"/>
        <w:rPr>
          <w:rFonts w:ascii="Century Gothic" w:hAnsi="Century Gothic"/>
          <w:sz w:val="24"/>
          <w:szCs w:val="24"/>
        </w:rPr>
      </w:pPr>
      <w:r w:rsidRPr="03864034">
        <w:rPr>
          <w:rFonts w:ascii="Century Gothic" w:hAnsi="Century Gothic"/>
          <w:sz w:val="24"/>
          <w:szCs w:val="24"/>
        </w:rPr>
        <w:lastRenderedPageBreak/>
        <w:t>(art. 67, inc. II, da Lei nº 14.133/2021)</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95"/>
        <w:gridCol w:w="4772"/>
        <w:gridCol w:w="807"/>
        <w:gridCol w:w="1985"/>
      </w:tblGrid>
      <w:tr w:rsidR="00E96123" w:rsidRPr="00E96123" w14:paraId="1E2020EA" w14:textId="77777777" w:rsidTr="009D3394">
        <w:trPr>
          <w:trHeight w:val="283"/>
          <w:jc w:val="center"/>
        </w:trPr>
        <w:tc>
          <w:tcPr>
            <w:tcW w:w="7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FF754" w14:textId="77777777" w:rsidR="00E96123" w:rsidRPr="00E96123" w:rsidRDefault="00E96123" w:rsidP="00E96123">
            <w:pPr>
              <w:spacing w:line="360" w:lineRule="auto"/>
              <w:jc w:val="both"/>
              <w:rPr>
                <w:rFonts w:ascii="Century Gothic" w:hAnsi="Century Gothic"/>
                <w:b/>
                <w:sz w:val="24"/>
                <w:szCs w:val="24"/>
              </w:rPr>
            </w:pPr>
            <w:r w:rsidRPr="00E96123">
              <w:rPr>
                <w:rFonts w:ascii="Century Gothic" w:hAnsi="Century Gothic"/>
                <w:b/>
                <w:sz w:val="24"/>
                <w:szCs w:val="24"/>
              </w:rPr>
              <w:t>ITEM</w:t>
            </w:r>
          </w:p>
        </w:tc>
        <w:tc>
          <w:tcPr>
            <w:tcW w:w="47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D003A4" w14:textId="77777777" w:rsidR="00E96123" w:rsidRPr="00E96123" w:rsidRDefault="00E96123" w:rsidP="00E96123">
            <w:pPr>
              <w:spacing w:line="360" w:lineRule="auto"/>
              <w:jc w:val="both"/>
              <w:rPr>
                <w:rFonts w:ascii="Century Gothic" w:hAnsi="Century Gothic"/>
                <w:b/>
                <w:sz w:val="24"/>
                <w:szCs w:val="24"/>
              </w:rPr>
            </w:pPr>
            <w:r w:rsidRPr="00E96123">
              <w:rPr>
                <w:rFonts w:ascii="Century Gothic" w:hAnsi="Century Gothic"/>
                <w:b/>
                <w:sz w:val="24"/>
                <w:szCs w:val="24"/>
              </w:rPr>
              <w:t>DESCRIÇÃO / SERVIÇOS EXECUTADOS</w:t>
            </w:r>
          </w:p>
        </w:tc>
        <w:tc>
          <w:tcPr>
            <w:tcW w:w="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89847" w14:textId="77777777" w:rsidR="00E96123" w:rsidRPr="00E96123" w:rsidRDefault="00E96123" w:rsidP="00E96123">
            <w:pPr>
              <w:spacing w:line="360" w:lineRule="auto"/>
              <w:jc w:val="both"/>
              <w:rPr>
                <w:rFonts w:ascii="Century Gothic" w:hAnsi="Century Gothic"/>
                <w:b/>
                <w:sz w:val="24"/>
                <w:szCs w:val="24"/>
              </w:rPr>
            </w:pPr>
            <w:r w:rsidRPr="00E96123">
              <w:rPr>
                <w:rFonts w:ascii="Century Gothic" w:hAnsi="Century Gothic"/>
                <w:b/>
                <w:sz w:val="24"/>
                <w:szCs w:val="24"/>
              </w:rPr>
              <w:t>UN</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668C45" w14:textId="4F93D960" w:rsidR="00E96123" w:rsidRPr="00E96123" w:rsidRDefault="00E96123" w:rsidP="00E96123">
            <w:pPr>
              <w:spacing w:line="360" w:lineRule="auto"/>
              <w:jc w:val="both"/>
              <w:rPr>
                <w:rFonts w:ascii="Century Gothic" w:hAnsi="Century Gothic"/>
                <w:b/>
                <w:sz w:val="24"/>
                <w:szCs w:val="24"/>
              </w:rPr>
            </w:pPr>
            <w:r w:rsidRPr="00E96123">
              <w:rPr>
                <w:rFonts w:ascii="Century Gothic" w:hAnsi="Century Gothic"/>
                <w:b/>
                <w:sz w:val="24"/>
                <w:szCs w:val="24"/>
              </w:rPr>
              <w:t>QUANTIDADE</w:t>
            </w:r>
            <w:r>
              <w:rPr>
                <w:rFonts w:ascii="Century Gothic" w:hAnsi="Century Gothic"/>
                <w:b/>
                <w:sz w:val="24"/>
                <w:szCs w:val="24"/>
              </w:rPr>
              <w:t xml:space="preserve"> MÍNIMA</w:t>
            </w:r>
          </w:p>
        </w:tc>
      </w:tr>
      <w:tr w:rsidR="00E96123" w:rsidRPr="00E96123" w14:paraId="7ADA0FCD" w14:textId="77777777" w:rsidTr="009D3394">
        <w:trPr>
          <w:trHeight w:val="283"/>
          <w:jc w:val="center"/>
        </w:trPr>
        <w:tc>
          <w:tcPr>
            <w:tcW w:w="795" w:type="dxa"/>
            <w:tcBorders>
              <w:top w:val="single" w:sz="4" w:space="0" w:color="auto"/>
              <w:left w:val="single" w:sz="4" w:space="0" w:color="auto"/>
              <w:bottom w:val="single" w:sz="4" w:space="0" w:color="auto"/>
              <w:right w:val="single" w:sz="4" w:space="0" w:color="auto"/>
            </w:tcBorders>
            <w:shd w:val="clear" w:color="auto" w:fill="D9D9D9"/>
            <w:tcMar>
              <w:top w:w="91" w:type="dxa"/>
              <w:left w:w="108" w:type="dxa"/>
              <w:bottom w:w="91" w:type="dxa"/>
              <w:right w:w="108" w:type="dxa"/>
            </w:tcMar>
            <w:vAlign w:val="center"/>
            <w:hideMark/>
          </w:tcPr>
          <w:p w14:paraId="519B6F6C" w14:textId="77777777" w:rsidR="00E96123" w:rsidRPr="00E96123" w:rsidRDefault="00E96123" w:rsidP="00E96123">
            <w:pPr>
              <w:spacing w:line="360" w:lineRule="auto"/>
              <w:jc w:val="both"/>
              <w:rPr>
                <w:rFonts w:ascii="Century Gothic" w:hAnsi="Century Gothic"/>
                <w:sz w:val="24"/>
                <w:szCs w:val="24"/>
              </w:rPr>
            </w:pPr>
            <w:r w:rsidRPr="00E96123">
              <w:rPr>
                <w:rFonts w:ascii="Century Gothic" w:hAnsi="Century Gothic"/>
                <w:sz w:val="24"/>
                <w:szCs w:val="24"/>
              </w:rPr>
              <w:t>1</w:t>
            </w:r>
          </w:p>
        </w:tc>
        <w:tc>
          <w:tcPr>
            <w:tcW w:w="4772"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530E67D6" w14:textId="69992E79" w:rsidR="00E96123" w:rsidRPr="00E96123" w:rsidRDefault="00E96123" w:rsidP="00E96123">
            <w:pPr>
              <w:spacing w:line="360" w:lineRule="auto"/>
              <w:jc w:val="both"/>
              <w:rPr>
                <w:rFonts w:ascii="Century Gothic" w:hAnsi="Century Gothic"/>
                <w:sz w:val="24"/>
                <w:szCs w:val="24"/>
              </w:rPr>
            </w:pPr>
            <w:r>
              <w:rPr>
                <w:rFonts w:ascii="Century Gothic" w:hAnsi="Century Gothic"/>
                <w:sz w:val="24"/>
                <w:szCs w:val="24"/>
              </w:rPr>
              <w:t>Projeto arquitetônico</w:t>
            </w:r>
          </w:p>
        </w:tc>
        <w:tc>
          <w:tcPr>
            <w:tcW w:w="807"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AB26245" w14:textId="77777777" w:rsidR="00E96123" w:rsidRPr="00E96123" w:rsidRDefault="00E96123" w:rsidP="00E96123">
            <w:pPr>
              <w:spacing w:line="360" w:lineRule="auto"/>
              <w:jc w:val="both"/>
              <w:rPr>
                <w:rFonts w:ascii="Century Gothic" w:hAnsi="Century Gothic"/>
                <w:sz w:val="24"/>
                <w:szCs w:val="24"/>
              </w:rPr>
            </w:pPr>
            <w:r w:rsidRPr="00E96123">
              <w:rPr>
                <w:rFonts w:ascii="Century Gothic" w:hAnsi="Century Gothic"/>
                <w:sz w:val="24"/>
                <w:szCs w:val="24"/>
              </w:rPr>
              <w:t>m</w:t>
            </w:r>
          </w:p>
        </w:tc>
        <w:tc>
          <w:tcPr>
            <w:tcW w:w="1985"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5870CFA0" w14:textId="698FB07C" w:rsidR="00E96123" w:rsidRPr="00E96123" w:rsidRDefault="003C5E74" w:rsidP="00E96123">
            <w:pPr>
              <w:spacing w:line="360" w:lineRule="auto"/>
              <w:jc w:val="both"/>
              <w:rPr>
                <w:rFonts w:ascii="Century Gothic" w:hAnsi="Century Gothic"/>
                <w:sz w:val="24"/>
                <w:szCs w:val="24"/>
              </w:rPr>
            </w:pPr>
            <w:r>
              <w:rPr>
                <w:rFonts w:ascii="Century Gothic" w:hAnsi="Century Gothic"/>
                <w:sz w:val="24"/>
                <w:szCs w:val="24"/>
              </w:rPr>
              <w:t>500</w:t>
            </w:r>
          </w:p>
        </w:tc>
      </w:tr>
    </w:tbl>
    <w:p w14:paraId="0EF63E9C" w14:textId="77777777" w:rsidR="004F7709" w:rsidRDefault="004F7709" w:rsidP="009E02C1">
      <w:pPr>
        <w:spacing w:line="360" w:lineRule="auto"/>
        <w:jc w:val="both"/>
        <w:rPr>
          <w:rFonts w:ascii="Century Gothic" w:hAnsi="Century Gothic"/>
          <w:sz w:val="24"/>
          <w:szCs w:val="24"/>
        </w:rPr>
      </w:pPr>
    </w:p>
    <w:p w14:paraId="438061D8" w14:textId="77777777" w:rsidR="00A21D6E" w:rsidRDefault="00A21D6E" w:rsidP="00A21D6E">
      <w:pPr>
        <w:spacing w:line="360" w:lineRule="auto"/>
        <w:jc w:val="both"/>
        <w:rPr>
          <w:rFonts w:ascii="Century Gothic" w:hAnsi="Century Gothic"/>
          <w:sz w:val="24"/>
          <w:szCs w:val="24"/>
        </w:rPr>
      </w:pPr>
    </w:p>
    <w:p w14:paraId="2F367994" w14:textId="77777777" w:rsidR="00A21D6E" w:rsidRPr="007A5C2C" w:rsidRDefault="00A21D6E" w:rsidP="00A21D6E">
      <w:pPr>
        <w:shd w:val="clear" w:color="auto" w:fill="BFBFBF" w:themeFill="background1" w:themeFillShade="BF"/>
        <w:spacing w:line="360" w:lineRule="auto"/>
        <w:jc w:val="both"/>
        <w:rPr>
          <w:rFonts w:ascii="Century Gothic" w:hAnsi="Century Gothic"/>
          <w:b/>
          <w:bCs/>
          <w:sz w:val="24"/>
          <w:szCs w:val="24"/>
        </w:rPr>
      </w:pPr>
      <w:r w:rsidRPr="007A5C2C">
        <w:rPr>
          <w:rFonts w:ascii="Century Gothic" w:hAnsi="Century Gothic"/>
          <w:b/>
          <w:bCs/>
          <w:sz w:val="24"/>
          <w:szCs w:val="24"/>
        </w:rPr>
        <w:t>12. ADEQUAÇÃO ORÇAMENTÁRIA (art. 6º, XXIII, alínea “j”, da Lei nº 8.666/93):</w:t>
      </w:r>
    </w:p>
    <w:p w14:paraId="57E30200" w14:textId="77777777" w:rsidR="00A21D6E" w:rsidRDefault="00A21D6E" w:rsidP="00A21D6E">
      <w:pPr>
        <w:spacing w:line="360" w:lineRule="auto"/>
        <w:jc w:val="both"/>
        <w:rPr>
          <w:rFonts w:ascii="Century Gothic" w:hAnsi="Century Gothic"/>
          <w:sz w:val="24"/>
          <w:szCs w:val="24"/>
        </w:rPr>
      </w:pPr>
      <w:r w:rsidRPr="00EB43A3">
        <w:rPr>
          <w:rFonts w:ascii="Century Gothic" w:hAnsi="Century Gothic"/>
          <w:sz w:val="24"/>
          <w:szCs w:val="24"/>
        </w:rPr>
        <w:t>1</w:t>
      </w:r>
      <w:r>
        <w:rPr>
          <w:rFonts w:ascii="Century Gothic" w:hAnsi="Century Gothic"/>
          <w:sz w:val="24"/>
          <w:szCs w:val="24"/>
        </w:rPr>
        <w:t>2</w:t>
      </w:r>
      <w:r w:rsidRPr="00EB43A3">
        <w:rPr>
          <w:rFonts w:ascii="Century Gothic" w:hAnsi="Century Gothic"/>
          <w:sz w:val="24"/>
          <w:szCs w:val="24"/>
        </w:rPr>
        <w:t xml:space="preserve">.1. As despesas decorrentes da presente contratação correrão à conta de recursos específicos consignados no Orçamento Geral </w:t>
      </w:r>
      <w:r>
        <w:rPr>
          <w:rFonts w:ascii="Century Gothic" w:hAnsi="Century Gothic"/>
          <w:sz w:val="24"/>
          <w:szCs w:val="24"/>
        </w:rPr>
        <w:t>do Município</w:t>
      </w:r>
      <w:r w:rsidRPr="00EB43A3">
        <w:rPr>
          <w:rFonts w:ascii="Century Gothic" w:hAnsi="Century Gothic"/>
          <w:sz w:val="24"/>
          <w:szCs w:val="24"/>
        </w:rPr>
        <w:t xml:space="preserve">. </w:t>
      </w:r>
    </w:p>
    <w:p w14:paraId="3AD08EAB"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12.</w:t>
      </w:r>
      <w:r w:rsidRPr="00EB43A3">
        <w:rPr>
          <w:rFonts w:ascii="Century Gothic" w:hAnsi="Century Gothic"/>
          <w:sz w:val="24"/>
          <w:szCs w:val="24"/>
        </w:rPr>
        <w:t>1.1. A contratação será atendida pela seguinte dotação:</w:t>
      </w:r>
    </w:p>
    <w:p w14:paraId="6DFE19B3" w14:textId="77777777" w:rsidR="00A21D6E" w:rsidRDefault="00A21D6E" w:rsidP="00A21D6E">
      <w:pPr>
        <w:spacing w:line="360" w:lineRule="auto"/>
        <w:jc w:val="both"/>
        <w:rPr>
          <w:rFonts w:ascii="Century Gothic" w:hAnsi="Century Gothic"/>
          <w:sz w:val="24"/>
          <w:szCs w:val="24"/>
        </w:rPr>
      </w:pPr>
    </w:p>
    <w:p w14:paraId="482CD13A" w14:textId="77777777" w:rsidR="00A21D6E" w:rsidRPr="001768AF" w:rsidRDefault="00A21D6E" w:rsidP="00A21D6E">
      <w:pPr>
        <w:pStyle w:val="SemEspaamento"/>
        <w:ind w:right="284"/>
        <w:jc w:val="both"/>
        <w:rPr>
          <w:rFonts w:ascii="Century Gothic" w:hAnsi="Century Gothic"/>
          <w:color w:val="000000" w:themeColor="text1"/>
          <w:u w:val="single"/>
        </w:rPr>
      </w:pPr>
      <w:r w:rsidRPr="001768AF">
        <w:rPr>
          <w:rFonts w:ascii="Century Gothic" w:hAnsi="Century Gothic"/>
          <w:color w:val="000000" w:themeColor="text1"/>
          <w:u w:val="single"/>
        </w:rPr>
        <w:t>01.031.0002.2010.0000.3.3.90.39.0</w:t>
      </w:r>
      <w:r>
        <w:rPr>
          <w:rFonts w:ascii="Century Gothic" w:hAnsi="Century Gothic"/>
          <w:color w:val="000000" w:themeColor="text1"/>
          <w:u w:val="single"/>
        </w:rPr>
        <w:t>5</w:t>
      </w:r>
      <w:r w:rsidRPr="001768AF">
        <w:rPr>
          <w:rFonts w:ascii="Century Gothic" w:hAnsi="Century Gothic"/>
          <w:color w:val="000000" w:themeColor="text1"/>
          <w:u w:val="single"/>
        </w:rPr>
        <w:t xml:space="preserve"> OUTROS SERVIÇOS DE TERCEIROS</w:t>
      </w:r>
      <w:r>
        <w:rPr>
          <w:rFonts w:ascii="Century Gothic" w:hAnsi="Century Gothic"/>
          <w:color w:val="000000" w:themeColor="text1"/>
          <w:u w:val="single"/>
        </w:rPr>
        <w:t xml:space="preserve"> </w:t>
      </w:r>
      <w:r w:rsidRPr="001768AF">
        <w:rPr>
          <w:rFonts w:ascii="Century Gothic" w:hAnsi="Century Gothic"/>
          <w:color w:val="000000" w:themeColor="text1"/>
          <w:u w:val="single"/>
        </w:rPr>
        <w:t>PESSOA JURÍDICA</w:t>
      </w:r>
      <w:r>
        <w:rPr>
          <w:rFonts w:ascii="Century Gothic" w:hAnsi="Century Gothic"/>
          <w:color w:val="000000" w:themeColor="text1"/>
          <w:u w:val="single"/>
        </w:rPr>
        <w:t xml:space="preserve"> – SERVIÇOS TÉCNOS PROFISSIONAIS</w:t>
      </w:r>
    </w:p>
    <w:p w14:paraId="7A6378CE" w14:textId="77777777" w:rsidR="00A21D6E" w:rsidRDefault="00A21D6E" w:rsidP="00A21D6E">
      <w:pPr>
        <w:spacing w:line="360" w:lineRule="auto"/>
        <w:jc w:val="both"/>
        <w:rPr>
          <w:rFonts w:ascii="Century Gothic" w:hAnsi="Century Gothic"/>
          <w:sz w:val="24"/>
          <w:szCs w:val="24"/>
        </w:rPr>
      </w:pPr>
    </w:p>
    <w:p w14:paraId="551E75C3"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12.1.2. A dotação acima poderá ser substituída por outra que venha a sucedê-la.</w:t>
      </w:r>
    </w:p>
    <w:p w14:paraId="0C98AEA8" w14:textId="77777777" w:rsidR="00A21D6E" w:rsidRDefault="00A21D6E" w:rsidP="00A21D6E">
      <w:pPr>
        <w:spacing w:line="360" w:lineRule="auto"/>
        <w:jc w:val="both"/>
        <w:rPr>
          <w:rFonts w:ascii="Century Gothic" w:hAnsi="Century Gothic"/>
          <w:sz w:val="24"/>
          <w:szCs w:val="24"/>
        </w:rPr>
      </w:pPr>
    </w:p>
    <w:p w14:paraId="58711D53" w14:textId="77777777" w:rsidR="00A21D6E" w:rsidRPr="007A5C2C" w:rsidRDefault="00A21D6E" w:rsidP="00A21D6E">
      <w:pPr>
        <w:shd w:val="clear" w:color="auto" w:fill="BFBFBF" w:themeFill="background1" w:themeFillShade="BF"/>
        <w:spacing w:line="360" w:lineRule="auto"/>
        <w:jc w:val="both"/>
        <w:rPr>
          <w:rFonts w:ascii="Century Gothic" w:hAnsi="Century Gothic"/>
          <w:b/>
          <w:bCs/>
          <w:sz w:val="24"/>
          <w:szCs w:val="24"/>
        </w:rPr>
      </w:pPr>
      <w:r w:rsidRPr="007A5C2C">
        <w:rPr>
          <w:rFonts w:ascii="Century Gothic" w:hAnsi="Century Gothic"/>
          <w:b/>
          <w:bCs/>
          <w:sz w:val="24"/>
          <w:szCs w:val="24"/>
        </w:rPr>
        <w:t>13. DA ESTIMATIVA DE VALOR (art. 6º, XXIII, alínea “i”):</w:t>
      </w:r>
    </w:p>
    <w:p w14:paraId="067EDF22" w14:textId="77777777" w:rsidR="00A21D6E" w:rsidRDefault="00A21D6E" w:rsidP="00A21D6E">
      <w:pPr>
        <w:spacing w:line="360" w:lineRule="auto"/>
        <w:jc w:val="both"/>
        <w:rPr>
          <w:rFonts w:ascii="Century Gothic" w:hAnsi="Century Gothic"/>
          <w:sz w:val="24"/>
          <w:szCs w:val="24"/>
        </w:rPr>
      </w:pPr>
    </w:p>
    <w:p w14:paraId="4C42D6FE"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13.1. O valor da contratação foi estimado em R$ 70.000,00 (setenta mil reais), conforme o item 6 do ETP.</w:t>
      </w:r>
    </w:p>
    <w:p w14:paraId="3B3EBE97" w14:textId="77777777" w:rsidR="00A21D6E" w:rsidRDefault="00A21D6E" w:rsidP="00A21D6E">
      <w:pPr>
        <w:spacing w:line="360" w:lineRule="auto"/>
        <w:jc w:val="both"/>
        <w:rPr>
          <w:rFonts w:ascii="Century Gothic" w:hAnsi="Century Gothic"/>
          <w:sz w:val="24"/>
          <w:szCs w:val="24"/>
        </w:rPr>
      </w:pPr>
    </w:p>
    <w:p w14:paraId="71228B68" w14:textId="77777777" w:rsidR="00A21D6E" w:rsidRPr="007A5C2C" w:rsidRDefault="00A21D6E" w:rsidP="00A21D6E">
      <w:pPr>
        <w:shd w:val="clear" w:color="auto" w:fill="BFBFBF" w:themeFill="background1" w:themeFillShade="BF"/>
        <w:spacing w:line="360" w:lineRule="auto"/>
        <w:jc w:val="both"/>
        <w:rPr>
          <w:rFonts w:ascii="Century Gothic" w:hAnsi="Century Gothic"/>
          <w:b/>
          <w:bCs/>
          <w:sz w:val="24"/>
          <w:szCs w:val="24"/>
        </w:rPr>
      </w:pPr>
      <w:r>
        <w:rPr>
          <w:rFonts w:ascii="Century Gothic" w:hAnsi="Century Gothic"/>
          <w:b/>
          <w:bCs/>
          <w:sz w:val="24"/>
          <w:szCs w:val="24"/>
        </w:rPr>
        <w:t>14</w:t>
      </w:r>
      <w:r w:rsidRPr="007A5C2C">
        <w:rPr>
          <w:rFonts w:ascii="Century Gothic" w:hAnsi="Century Gothic"/>
          <w:b/>
          <w:bCs/>
          <w:sz w:val="24"/>
          <w:szCs w:val="24"/>
        </w:rPr>
        <w:t xml:space="preserve">. </w:t>
      </w:r>
      <w:r>
        <w:rPr>
          <w:rFonts w:ascii="Century Gothic" w:hAnsi="Century Gothic"/>
          <w:b/>
          <w:bCs/>
          <w:sz w:val="24"/>
          <w:szCs w:val="24"/>
        </w:rPr>
        <w:t>DAS DISPOSIÇÕES FINAIS</w:t>
      </w:r>
      <w:r w:rsidRPr="007A5C2C">
        <w:rPr>
          <w:rFonts w:ascii="Century Gothic" w:hAnsi="Century Gothic"/>
          <w:b/>
          <w:bCs/>
          <w:sz w:val="24"/>
          <w:szCs w:val="24"/>
        </w:rPr>
        <w:t>:</w:t>
      </w:r>
    </w:p>
    <w:p w14:paraId="554B0BD7" w14:textId="77777777" w:rsidR="00A21D6E" w:rsidRDefault="00A21D6E" w:rsidP="00A21D6E">
      <w:pPr>
        <w:spacing w:line="360" w:lineRule="auto"/>
        <w:jc w:val="both"/>
        <w:rPr>
          <w:rFonts w:ascii="Century Gothic" w:hAnsi="Century Gothic"/>
          <w:sz w:val="24"/>
          <w:szCs w:val="24"/>
        </w:rPr>
      </w:pPr>
    </w:p>
    <w:p w14:paraId="3B122912" w14:textId="77777777" w:rsidR="00A21D6E" w:rsidRDefault="00A21D6E" w:rsidP="00A21D6E">
      <w:pPr>
        <w:spacing w:line="360" w:lineRule="auto"/>
        <w:jc w:val="both"/>
        <w:rPr>
          <w:rFonts w:ascii="Century Gothic" w:hAnsi="Century Gothic"/>
          <w:sz w:val="24"/>
          <w:szCs w:val="24"/>
        </w:rPr>
      </w:pPr>
      <w:r>
        <w:rPr>
          <w:rFonts w:ascii="Century Gothic" w:hAnsi="Century Gothic"/>
          <w:sz w:val="24"/>
          <w:szCs w:val="24"/>
        </w:rPr>
        <w:t xml:space="preserve">14.1. Integram o presente Termo de Referência os seguintes materiais complementares em anexo: </w:t>
      </w:r>
    </w:p>
    <w:p w14:paraId="42BE7BF1" w14:textId="77777777" w:rsidR="00A21D6E" w:rsidRDefault="00A21D6E" w:rsidP="00A21D6E">
      <w:pPr>
        <w:pStyle w:val="PargrafodaLista"/>
        <w:numPr>
          <w:ilvl w:val="0"/>
          <w:numId w:val="6"/>
        </w:numPr>
        <w:spacing w:line="360" w:lineRule="auto"/>
        <w:jc w:val="both"/>
        <w:rPr>
          <w:rFonts w:ascii="Century Gothic" w:hAnsi="Century Gothic"/>
          <w:sz w:val="24"/>
          <w:szCs w:val="24"/>
        </w:rPr>
      </w:pPr>
      <w:r>
        <w:rPr>
          <w:rFonts w:ascii="Century Gothic" w:hAnsi="Century Gothic"/>
          <w:sz w:val="24"/>
          <w:szCs w:val="24"/>
        </w:rPr>
        <w:lastRenderedPageBreak/>
        <w:t>Estudo Técnico Preliminar – ETP;</w:t>
      </w:r>
    </w:p>
    <w:p w14:paraId="20A5B5AD" w14:textId="77777777" w:rsidR="00A21D6E" w:rsidRDefault="00A21D6E" w:rsidP="00A21D6E">
      <w:pPr>
        <w:pStyle w:val="PargrafodaLista"/>
        <w:numPr>
          <w:ilvl w:val="0"/>
          <w:numId w:val="6"/>
        </w:numPr>
        <w:spacing w:line="360" w:lineRule="auto"/>
        <w:jc w:val="both"/>
        <w:rPr>
          <w:rFonts w:ascii="Century Gothic" w:hAnsi="Century Gothic"/>
          <w:sz w:val="24"/>
          <w:szCs w:val="24"/>
        </w:rPr>
      </w:pPr>
      <w:r>
        <w:rPr>
          <w:rFonts w:ascii="Century Gothic" w:hAnsi="Century Gothic"/>
          <w:sz w:val="24"/>
          <w:szCs w:val="24"/>
        </w:rPr>
        <w:t>Relatório circunstanciado do Ministério Público com recomendações quanto às normas de acessibilidade;</w:t>
      </w:r>
    </w:p>
    <w:p w14:paraId="1037819F" w14:textId="77777777" w:rsidR="00A21D6E" w:rsidRPr="00A963DC" w:rsidRDefault="00A21D6E" w:rsidP="00A21D6E">
      <w:pPr>
        <w:pStyle w:val="PargrafodaLista"/>
        <w:numPr>
          <w:ilvl w:val="0"/>
          <w:numId w:val="6"/>
        </w:numPr>
        <w:spacing w:line="360" w:lineRule="auto"/>
        <w:jc w:val="both"/>
        <w:rPr>
          <w:rFonts w:ascii="Century Gothic" w:hAnsi="Century Gothic"/>
          <w:sz w:val="24"/>
          <w:szCs w:val="24"/>
        </w:rPr>
      </w:pPr>
      <w:r>
        <w:rPr>
          <w:rFonts w:ascii="Century Gothic" w:hAnsi="Century Gothic"/>
          <w:sz w:val="24"/>
          <w:szCs w:val="24"/>
        </w:rPr>
        <w:t xml:space="preserve">Planta baixa da edificação existente. </w:t>
      </w:r>
    </w:p>
    <w:p w14:paraId="3C746716" w14:textId="77777777" w:rsidR="00A21D6E" w:rsidRPr="007A5C2C" w:rsidRDefault="00A21D6E" w:rsidP="00A21D6E">
      <w:pPr>
        <w:spacing w:line="360" w:lineRule="auto"/>
        <w:jc w:val="both"/>
        <w:rPr>
          <w:rFonts w:ascii="Century Gothic" w:hAnsi="Century Gothic"/>
          <w:sz w:val="24"/>
          <w:szCs w:val="24"/>
        </w:rPr>
      </w:pPr>
    </w:p>
    <w:p w14:paraId="58A384EB" w14:textId="77777777" w:rsidR="00A21D6E" w:rsidRDefault="00A21D6E" w:rsidP="00A21D6E">
      <w:pPr>
        <w:spacing w:line="360" w:lineRule="auto"/>
        <w:ind w:left="360"/>
        <w:jc w:val="right"/>
        <w:rPr>
          <w:rFonts w:ascii="Century Gothic" w:eastAsia="Calibri" w:hAnsi="Century Gothic" w:cs="Calibri"/>
          <w:sz w:val="24"/>
          <w:szCs w:val="24"/>
        </w:rPr>
      </w:pPr>
    </w:p>
    <w:p w14:paraId="142F019E" w14:textId="77777777" w:rsidR="00A21D6E" w:rsidRPr="00AE0CC8" w:rsidRDefault="00A21D6E" w:rsidP="00A21D6E">
      <w:pPr>
        <w:spacing w:line="360" w:lineRule="auto"/>
        <w:ind w:left="360"/>
        <w:jc w:val="right"/>
        <w:rPr>
          <w:rFonts w:ascii="Century Gothic" w:eastAsia="Calibri" w:hAnsi="Century Gothic" w:cs="Calibri"/>
          <w:sz w:val="24"/>
          <w:szCs w:val="24"/>
        </w:rPr>
      </w:pPr>
      <w:r w:rsidRPr="00AE0CC8">
        <w:rPr>
          <w:rFonts w:ascii="Century Gothic" w:eastAsia="Calibri" w:hAnsi="Century Gothic" w:cs="Calibri"/>
          <w:sz w:val="24"/>
          <w:szCs w:val="24"/>
        </w:rPr>
        <w:t xml:space="preserve">Município de Ribas do Rio Pardo, </w:t>
      </w:r>
      <w:r>
        <w:rPr>
          <w:rFonts w:ascii="Century Gothic" w:eastAsia="Calibri" w:hAnsi="Century Gothic" w:cs="Calibri"/>
          <w:sz w:val="24"/>
          <w:szCs w:val="24"/>
        </w:rPr>
        <w:t>23</w:t>
      </w:r>
      <w:r w:rsidRPr="00AE0CC8">
        <w:rPr>
          <w:rFonts w:ascii="Century Gothic" w:eastAsia="Calibri" w:hAnsi="Century Gothic" w:cs="Calibri"/>
          <w:sz w:val="24"/>
          <w:szCs w:val="24"/>
        </w:rPr>
        <w:t xml:space="preserve"> de</w:t>
      </w:r>
      <w:r>
        <w:rPr>
          <w:rFonts w:ascii="Century Gothic" w:eastAsia="Calibri" w:hAnsi="Century Gothic" w:cs="Calibri"/>
          <w:sz w:val="24"/>
          <w:szCs w:val="24"/>
        </w:rPr>
        <w:t xml:space="preserve"> maio </w:t>
      </w:r>
      <w:r w:rsidRPr="00AE0CC8">
        <w:rPr>
          <w:rFonts w:ascii="Century Gothic" w:eastAsia="Calibri" w:hAnsi="Century Gothic" w:cs="Calibri"/>
          <w:sz w:val="24"/>
          <w:szCs w:val="24"/>
        </w:rPr>
        <w:t xml:space="preserve">de </w:t>
      </w:r>
      <w:r>
        <w:rPr>
          <w:rFonts w:ascii="Century Gothic" w:eastAsia="Calibri" w:hAnsi="Century Gothic" w:cs="Calibri"/>
          <w:sz w:val="24"/>
          <w:szCs w:val="24"/>
        </w:rPr>
        <w:t>2023</w:t>
      </w:r>
    </w:p>
    <w:p w14:paraId="6A5DC07F" w14:textId="77777777" w:rsidR="00A21D6E" w:rsidRDefault="00A21D6E" w:rsidP="00A21D6E">
      <w:pPr>
        <w:spacing w:line="360" w:lineRule="auto"/>
        <w:ind w:left="360"/>
        <w:jc w:val="right"/>
        <w:rPr>
          <w:rFonts w:ascii="Century Gothic" w:eastAsia="Calibri" w:hAnsi="Century Gothic" w:cs="Calibri"/>
          <w:sz w:val="24"/>
          <w:szCs w:val="24"/>
        </w:rPr>
      </w:pPr>
    </w:p>
    <w:p w14:paraId="29AEA786" w14:textId="77777777" w:rsidR="00A21D6E" w:rsidRDefault="00A21D6E" w:rsidP="00A21D6E">
      <w:pPr>
        <w:spacing w:line="360" w:lineRule="auto"/>
        <w:ind w:left="360"/>
        <w:jc w:val="center"/>
        <w:rPr>
          <w:rFonts w:ascii="Century Gothic" w:eastAsia="Calibri" w:hAnsi="Century Gothic" w:cs="Calibri"/>
          <w:sz w:val="24"/>
          <w:szCs w:val="24"/>
        </w:rPr>
      </w:pPr>
    </w:p>
    <w:p w14:paraId="2C5D7BEC" w14:textId="77777777" w:rsidR="00A21D6E" w:rsidRPr="00AE0CC8" w:rsidRDefault="00A21D6E" w:rsidP="00A21D6E">
      <w:pPr>
        <w:spacing w:line="360" w:lineRule="auto"/>
        <w:ind w:left="360"/>
        <w:jc w:val="center"/>
        <w:rPr>
          <w:rFonts w:ascii="Century Gothic" w:eastAsia="Calibri" w:hAnsi="Century Gothic" w:cs="Calibri"/>
          <w:sz w:val="24"/>
          <w:szCs w:val="24"/>
        </w:rPr>
      </w:pPr>
    </w:p>
    <w:p w14:paraId="1967E813" w14:textId="77777777" w:rsidR="00A21D6E" w:rsidRPr="00AE0CC8" w:rsidRDefault="00A21D6E" w:rsidP="00A21D6E">
      <w:pPr>
        <w:spacing w:line="360" w:lineRule="auto"/>
        <w:ind w:left="360"/>
        <w:jc w:val="center"/>
        <w:rPr>
          <w:rFonts w:ascii="Century Gothic" w:eastAsia="Calibri" w:hAnsi="Century Gothic" w:cs="Calibri"/>
          <w:sz w:val="24"/>
          <w:szCs w:val="24"/>
        </w:rPr>
      </w:pPr>
      <w:r w:rsidRPr="00AE0CC8">
        <w:rPr>
          <w:rFonts w:ascii="Century Gothic" w:eastAsia="Calibri" w:hAnsi="Century Gothic" w:cs="Calibri"/>
          <w:sz w:val="24"/>
          <w:szCs w:val="24"/>
        </w:rPr>
        <w:t>__________________________________</w:t>
      </w:r>
    </w:p>
    <w:p w14:paraId="423EE47D" w14:textId="77777777" w:rsidR="00A21D6E" w:rsidRDefault="00A21D6E" w:rsidP="00A21D6E">
      <w:pPr>
        <w:spacing w:line="360" w:lineRule="auto"/>
        <w:jc w:val="center"/>
        <w:rPr>
          <w:rFonts w:ascii="Century Gothic" w:eastAsia="Calibri" w:hAnsi="Century Gothic" w:cs="Calibri"/>
          <w:sz w:val="24"/>
          <w:szCs w:val="24"/>
        </w:rPr>
      </w:pPr>
      <w:bookmarkStart w:id="2" w:name="_owbv6fd4apd0" w:colFirst="0" w:colLast="0"/>
      <w:bookmarkStart w:id="3" w:name="_zc14r1ea9ypg" w:colFirst="0" w:colLast="0"/>
      <w:bookmarkStart w:id="4" w:name="_brombr39nshd" w:colFirst="0" w:colLast="0"/>
      <w:bookmarkStart w:id="5" w:name="_5nmpgztkxhnp" w:colFirst="0" w:colLast="0"/>
      <w:bookmarkEnd w:id="2"/>
      <w:bookmarkEnd w:id="3"/>
      <w:bookmarkEnd w:id="4"/>
      <w:bookmarkEnd w:id="5"/>
      <w:r>
        <w:rPr>
          <w:rFonts w:ascii="Century Gothic" w:eastAsia="Calibri" w:hAnsi="Century Gothic" w:cs="Calibri"/>
          <w:sz w:val="24"/>
          <w:szCs w:val="24"/>
        </w:rPr>
        <w:t xml:space="preserve">Cleiton Gonçalves dos Santos </w:t>
      </w:r>
    </w:p>
    <w:p w14:paraId="01D0631C" w14:textId="77777777" w:rsidR="00A21D6E" w:rsidRPr="00AE0CC8" w:rsidRDefault="00A21D6E" w:rsidP="00A21D6E">
      <w:pPr>
        <w:spacing w:line="360" w:lineRule="auto"/>
        <w:jc w:val="center"/>
        <w:rPr>
          <w:rFonts w:ascii="Century Gothic" w:eastAsia="Calibri" w:hAnsi="Century Gothic" w:cs="Calibri"/>
          <w:sz w:val="24"/>
          <w:szCs w:val="24"/>
        </w:rPr>
      </w:pPr>
      <w:r>
        <w:rPr>
          <w:rFonts w:ascii="Century Gothic" w:eastAsia="Calibri" w:hAnsi="Century Gothic" w:cs="Calibri"/>
          <w:sz w:val="24"/>
          <w:szCs w:val="24"/>
        </w:rPr>
        <w:t>(</w:t>
      </w:r>
      <w:r w:rsidRPr="00153651">
        <w:rPr>
          <w:rFonts w:ascii="Century Gothic" w:eastAsia="Calibri" w:hAnsi="Century Gothic" w:cs="Calibri"/>
          <w:b/>
          <w:bCs/>
          <w:sz w:val="24"/>
          <w:szCs w:val="24"/>
        </w:rPr>
        <w:t>Chefe seção de compras</w:t>
      </w:r>
      <w:r>
        <w:rPr>
          <w:rFonts w:ascii="Century Gothic" w:eastAsia="Calibri" w:hAnsi="Century Gothic" w:cs="Calibri"/>
          <w:sz w:val="24"/>
          <w:szCs w:val="24"/>
        </w:rPr>
        <w:t>)</w:t>
      </w:r>
    </w:p>
    <w:sectPr w:rsidR="00A21D6E" w:rsidRPr="00AE0CC8" w:rsidSect="00BA3191">
      <w:headerReference w:type="default" r:id="rId15"/>
      <w:footerReference w:type="default" r:id="rId16"/>
      <w:type w:val="continuous"/>
      <w:pgSz w:w="11909" w:h="16834"/>
      <w:pgMar w:top="1276" w:right="1440" w:bottom="1843"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6C7D" w14:textId="77777777" w:rsidR="008766B3" w:rsidRDefault="008766B3">
      <w:pPr>
        <w:spacing w:line="240" w:lineRule="auto"/>
      </w:pPr>
      <w:r>
        <w:separator/>
      </w:r>
    </w:p>
  </w:endnote>
  <w:endnote w:type="continuationSeparator" w:id="0">
    <w:p w14:paraId="5AB7C4D9" w14:textId="77777777" w:rsidR="008766B3" w:rsidRDefault="008766B3">
      <w:pPr>
        <w:spacing w:line="240" w:lineRule="auto"/>
      </w:pPr>
      <w:r>
        <w:continuationSeparator/>
      </w:r>
    </w:p>
  </w:endnote>
  <w:endnote w:type="continuationNotice" w:id="1">
    <w:p w14:paraId="5D38AC9D" w14:textId="77777777" w:rsidR="008766B3" w:rsidRDefault="008766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C6D8" w14:textId="77777777" w:rsidR="0096175B" w:rsidRDefault="00555013" w:rsidP="0096175B">
    <w:pPr>
      <w:pStyle w:val="Rodap"/>
      <w:jc w:val="center"/>
      <w:rPr>
        <w:rFonts w:ascii="Tahoma" w:hAnsi="Tahoma"/>
        <w:b/>
        <w:sz w:val="16"/>
        <w:szCs w:val="16"/>
      </w:rPr>
    </w:pPr>
    <w:bookmarkStart w:id="8" w:name="_Hlk526929618"/>
    <w:bookmarkStart w:id="9" w:name="_Hlk526929619"/>
    <w:bookmarkStart w:id="10" w:name="_Hlk526929621"/>
    <w:bookmarkStart w:id="11" w:name="_Hlk526929622"/>
    <w:r>
      <w:rPr>
        <w:rFonts w:ascii="Tahoma" w:hAnsi="Tahoma"/>
        <w:b/>
        <w:sz w:val="16"/>
        <w:szCs w:val="16"/>
      </w:rPr>
      <w:t>Câmara Municipal de Ribas do Rio Pardo – MS – CNPJ: 001.696.482/0001-29</w:t>
    </w:r>
  </w:p>
  <w:p w14:paraId="10153333" w14:textId="77777777" w:rsidR="0096175B" w:rsidRPr="00536F99" w:rsidRDefault="00555013" w:rsidP="0096175B">
    <w:pPr>
      <w:pStyle w:val="Rodap"/>
      <w:jc w:val="center"/>
      <w:rPr>
        <w:rFonts w:ascii="Tahoma" w:hAnsi="Tahoma"/>
        <w:b/>
        <w:sz w:val="16"/>
        <w:szCs w:val="16"/>
      </w:rPr>
    </w:pPr>
    <w:r w:rsidRPr="00536F99">
      <w:rPr>
        <w:rFonts w:ascii="Tahoma" w:hAnsi="Tahoma"/>
        <w:b/>
        <w:sz w:val="16"/>
        <w:szCs w:val="16"/>
      </w:rPr>
      <w:t>R</w:t>
    </w:r>
    <w:r>
      <w:rPr>
        <w:rFonts w:ascii="Tahoma" w:hAnsi="Tahoma"/>
        <w:b/>
        <w:sz w:val="16"/>
        <w:szCs w:val="16"/>
      </w:rPr>
      <w:t>.</w:t>
    </w:r>
    <w:r w:rsidRPr="00536F99">
      <w:rPr>
        <w:rFonts w:ascii="Tahoma" w:hAnsi="Tahoma"/>
        <w:b/>
        <w:sz w:val="16"/>
        <w:szCs w:val="16"/>
      </w:rPr>
      <w:t xml:space="preserve"> Marciana Custódio Lemos, 64</w:t>
    </w:r>
    <w:r>
      <w:rPr>
        <w:rFonts w:ascii="Tahoma" w:hAnsi="Tahoma"/>
        <w:b/>
        <w:sz w:val="16"/>
        <w:szCs w:val="16"/>
      </w:rPr>
      <w:t>,</w:t>
    </w:r>
    <w:r w:rsidRPr="00536F99">
      <w:rPr>
        <w:rFonts w:ascii="Tahoma" w:hAnsi="Tahoma"/>
        <w:b/>
        <w:sz w:val="16"/>
        <w:szCs w:val="16"/>
      </w:rPr>
      <w:t xml:space="preserve"> Santos Dumont – Fone: (67) 3238-1470/3238-1560 – CEP: 79.180-</w:t>
    </w:r>
    <w:r>
      <w:rPr>
        <w:rFonts w:ascii="Tahoma" w:hAnsi="Tahoma"/>
        <w:b/>
        <w:sz w:val="16"/>
        <w:szCs w:val="16"/>
      </w:rPr>
      <w:t>0</w:t>
    </w:r>
    <w:r w:rsidRPr="00536F99">
      <w:rPr>
        <w:rFonts w:ascii="Tahoma" w:hAnsi="Tahoma"/>
        <w:b/>
        <w:sz w:val="16"/>
        <w:szCs w:val="16"/>
      </w:rPr>
      <w:t>00</w:t>
    </w:r>
  </w:p>
  <w:p w14:paraId="1859E021" w14:textId="77777777" w:rsidR="0096175B" w:rsidRPr="006B0540" w:rsidRDefault="00555013" w:rsidP="0096175B">
    <w:pPr>
      <w:pStyle w:val="Rodap"/>
      <w:jc w:val="center"/>
      <w:rPr>
        <w:rFonts w:ascii="Tahoma" w:hAnsi="Tahoma"/>
        <w:b/>
        <w:sz w:val="16"/>
        <w:szCs w:val="16"/>
      </w:rPr>
    </w:pPr>
    <w:r w:rsidRPr="00536F99">
      <w:rPr>
        <w:rFonts w:ascii="Tahoma" w:hAnsi="Tahoma"/>
        <w:b/>
        <w:sz w:val="16"/>
        <w:szCs w:val="16"/>
      </w:rPr>
      <w:t xml:space="preserve">E-mail: </w:t>
    </w:r>
    <w:r>
      <w:rPr>
        <w:rFonts w:ascii="Tahoma" w:hAnsi="Tahoma"/>
        <w:b/>
        <w:sz w:val="16"/>
        <w:szCs w:val="16"/>
      </w:rPr>
      <w:t>camara</w:t>
    </w:r>
    <w:r w:rsidRPr="00F259B0">
      <w:rPr>
        <w:rFonts w:ascii="Tahoma" w:hAnsi="Tahoma"/>
        <w:b/>
        <w:sz w:val="16"/>
        <w:szCs w:val="16"/>
      </w:rPr>
      <w:t>@ribasdoriopardo.ms.leg.br</w:t>
    </w:r>
    <w:r>
      <w:rPr>
        <w:rFonts w:ascii="Tahoma" w:hAnsi="Tahoma"/>
        <w:b/>
        <w:sz w:val="16"/>
        <w:szCs w:val="16"/>
      </w:rPr>
      <w:t xml:space="preserve">/ site: </w:t>
    </w:r>
    <w:r w:rsidRPr="00536F99">
      <w:rPr>
        <w:rFonts w:ascii="Tahoma" w:hAnsi="Tahoma"/>
        <w:b/>
        <w:sz w:val="16"/>
        <w:szCs w:val="16"/>
      </w:rPr>
      <w:t>www.ribasdoriopardo.ms.leg.br</w:t>
    </w:r>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5380" w14:textId="77777777" w:rsidR="008766B3" w:rsidRDefault="008766B3">
      <w:pPr>
        <w:spacing w:line="240" w:lineRule="auto"/>
      </w:pPr>
      <w:r>
        <w:separator/>
      </w:r>
    </w:p>
  </w:footnote>
  <w:footnote w:type="continuationSeparator" w:id="0">
    <w:p w14:paraId="670B2B6E" w14:textId="77777777" w:rsidR="008766B3" w:rsidRDefault="008766B3">
      <w:pPr>
        <w:spacing w:line="240" w:lineRule="auto"/>
      </w:pPr>
      <w:r>
        <w:continuationSeparator/>
      </w:r>
    </w:p>
  </w:footnote>
  <w:footnote w:type="continuationNotice" w:id="1">
    <w:p w14:paraId="0E8D04C3" w14:textId="77777777" w:rsidR="008766B3" w:rsidRDefault="008766B3">
      <w:pPr>
        <w:spacing w:line="240" w:lineRule="auto"/>
      </w:pPr>
    </w:p>
  </w:footnote>
  <w:footnote w:id="2">
    <w:p w14:paraId="35FB9AC5" w14:textId="11F86A9C" w:rsidR="00CB7197" w:rsidRDefault="00CB7197" w:rsidP="003C3B82">
      <w:pPr>
        <w:pStyle w:val="Textodenotaderodap"/>
        <w:keepNext/>
        <w:widowControl w:val="0"/>
        <w:jc w:val="both"/>
      </w:pPr>
      <w:r>
        <w:rPr>
          <w:rStyle w:val="Refdenotaderodap"/>
        </w:rPr>
        <w:footnoteRef/>
      </w:r>
      <w:r>
        <w:t xml:space="preserve"> </w:t>
      </w:r>
      <w:r w:rsidR="0043320A">
        <w:t>Conforme destacado no ETP, o atual prédio,</w:t>
      </w:r>
      <w:r w:rsidR="00B65F24">
        <w:t xml:space="preserve"> com aprox. </w:t>
      </w:r>
      <w:r w:rsidR="00B65F24" w:rsidRPr="00B65F24">
        <w:t>846 m</w:t>
      </w:r>
      <w:r w:rsidR="00B65F24" w:rsidRPr="00B65F24">
        <w:rPr>
          <w:vertAlign w:val="superscript"/>
        </w:rPr>
        <w:t>2</w:t>
      </w:r>
      <w:r w:rsidR="0043320A">
        <w:t xml:space="preserve"> </w:t>
      </w:r>
      <w:r w:rsidR="00B65F24">
        <w:t>de área construída, objeto da reforma pretendida</w:t>
      </w:r>
      <w:r w:rsidR="0043320A">
        <w:t>, não conta com projeto arquit</w:t>
      </w:r>
      <w:r w:rsidR="0044322B">
        <w:t>etônico</w:t>
      </w:r>
      <w:r w:rsidR="00B72808">
        <w:t xml:space="preserve"> (legal)</w:t>
      </w:r>
      <w:r w:rsidR="0044322B">
        <w:t xml:space="preserve"> e demais complementares, uma vez que foram extraviados </w:t>
      </w:r>
      <w:r w:rsidR="00B65F24">
        <w:t xml:space="preserve">tais documentos, não constando dos arquivos municipais. Assim, há a necessidade de reformulação de tais projetos.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F66C" w14:textId="2A511A4C" w:rsidR="008261B8" w:rsidRDefault="008261B8" w:rsidP="008261B8">
    <w:pPr>
      <w:pStyle w:val="Cabealho"/>
    </w:pPr>
    <w:bookmarkStart w:id="6" w:name="_Hlk526929597"/>
    <w:bookmarkStart w:id="7" w:name="_Hlk526929598"/>
  </w:p>
  <w:bookmarkEnd w:id="6"/>
  <w:bookmarkEnd w:id="7"/>
  <w:p w14:paraId="6FCF679B" w14:textId="046A8F88" w:rsidR="008261B8" w:rsidRPr="00220C11" w:rsidRDefault="00EF5DCC" w:rsidP="009D218B">
    <w:pPr>
      <w:pStyle w:val="Cabealho"/>
      <w:tabs>
        <w:tab w:val="clear" w:pos="4252"/>
        <w:tab w:val="clear" w:pos="8504"/>
        <w:tab w:val="left" w:pos="7710"/>
      </w:tabs>
      <w:jc w:val="right"/>
      <w:rPr>
        <w:b/>
        <w:bCs/>
      </w:rPr>
    </w:pPr>
    <w:r>
      <w:rPr>
        <w:noProof/>
      </w:rPr>
      <w:drawing>
        <wp:anchor distT="0" distB="0" distL="114300" distR="114300" simplePos="0" relativeHeight="251660288" behindDoc="1" locked="0" layoutInCell="1" allowOverlap="1" wp14:anchorId="4762B6D5" wp14:editId="0711178C">
          <wp:simplePos x="0" y="0"/>
          <wp:positionH relativeFrom="page">
            <wp:align>center</wp:align>
          </wp:positionH>
          <wp:positionV relativeFrom="paragraph">
            <wp:posOffset>10795</wp:posOffset>
          </wp:positionV>
          <wp:extent cx="937247" cy="876300"/>
          <wp:effectExtent l="0" t="0" r="0" b="0"/>
          <wp:wrapNone/>
          <wp:docPr id="4" name="Imagem 4" descr="Uma imagem contendo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7247" cy="876300"/>
                  </a:xfrm>
                  <a:prstGeom prst="rect">
                    <a:avLst/>
                  </a:prstGeom>
                </pic:spPr>
              </pic:pic>
            </a:graphicData>
          </a:graphic>
          <wp14:sizeRelH relativeFrom="page">
            <wp14:pctWidth>0</wp14:pctWidth>
          </wp14:sizeRelH>
          <wp14:sizeRelV relativeFrom="page">
            <wp14:pctHeight>0</wp14:pctHeight>
          </wp14:sizeRelV>
        </wp:anchor>
      </w:drawing>
    </w:r>
    <w:r w:rsidR="008261B8">
      <w:t xml:space="preserve">                                                                                                                                      </w:t>
    </w:r>
    <w:r w:rsidR="008261B8" w:rsidRPr="00220C11">
      <w:rPr>
        <w:b/>
        <w:bCs/>
      </w:rPr>
      <w:t xml:space="preserve">FOLHA N° ________                                                                                                                                   </w:t>
    </w:r>
  </w:p>
  <w:p w14:paraId="02C6A2D1" w14:textId="3753786F" w:rsidR="008261B8" w:rsidRPr="00220C11" w:rsidRDefault="008261B8" w:rsidP="008261B8">
    <w:pPr>
      <w:pStyle w:val="Cabealho"/>
      <w:tabs>
        <w:tab w:val="clear" w:pos="4252"/>
        <w:tab w:val="clear" w:pos="8504"/>
        <w:tab w:val="left" w:pos="7710"/>
      </w:tabs>
      <w:jc w:val="right"/>
      <w:rPr>
        <w:b/>
        <w:bCs/>
      </w:rPr>
    </w:pPr>
    <w:r w:rsidRPr="00220C11">
      <w:rPr>
        <w:b/>
        <w:bCs/>
      </w:rPr>
      <w:t xml:space="preserve">                                                                                                                               VISTO___________</w:t>
    </w:r>
    <w:r w:rsidR="004046AB">
      <w:rPr>
        <w:b/>
        <w:bCs/>
      </w:rPr>
      <w:t>_</w:t>
    </w:r>
  </w:p>
  <w:p w14:paraId="1960E8FF" w14:textId="584BC41A" w:rsidR="008261B8" w:rsidRDefault="008261B8" w:rsidP="008261B8">
    <w:pPr>
      <w:pStyle w:val="Cabealho"/>
      <w:jc w:val="center"/>
    </w:pPr>
  </w:p>
  <w:p w14:paraId="35D7338A" w14:textId="77777777" w:rsidR="008261B8" w:rsidRPr="009F4CFA" w:rsidRDefault="008261B8" w:rsidP="008261B8">
    <w:pPr>
      <w:pStyle w:val="Cabealho"/>
      <w:jc w:val="center"/>
    </w:pPr>
    <w:r>
      <w:rPr>
        <w:noProof/>
      </w:rPr>
      <mc:AlternateContent>
        <mc:Choice Requires="wps">
          <w:drawing>
            <wp:anchor distT="0" distB="0" distL="114300" distR="114300" simplePos="0" relativeHeight="251659264" behindDoc="0" locked="0" layoutInCell="1" allowOverlap="1" wp14:anchorId="26C20DA3" wp14:editId="7D91E35A">
              <wp:simplePos x="0" y="0"/>
              <wp:positionH relativeFrom="margin">
                <wp:align>left</wp:align>
              </wp:positionH>
              <wp:positionV relativeFrom="paragraph">
                <wp:posOffset>13335</wp:posOffset>
              </wp:positionV>
              <wp:extent cx="5286375" cy="1828800"/>
              <wp:effectExtent l="0" t="0" r="0" b="8255"/>
              <wp:wrapNone/>
              <wp:docPr id="1" name="Caixa de Texto 1"/>
              <wp:cNvGraphicFramePr/>
              <a:graphic xmlns:a="http://schemas.openxmlformats.org/drawingml/2006/main">
                <a:graphicData uri="http://schemas.microsoft.com/office/word/2010/wordprocessingShape">
                  <wps:wsp>
                    <wps:cNvSpPr txBox="1"/>
                    <wps:spPr>
                      <a:xfrm>
                        <a:off x="0" y="0"/>
                        <a:ext cx="5286375" cy="1828800"/>
                      </a:xfrm>
                      <a:prstGeom prst="rect">
                        <a:avLst/>
                      </a:prstGeom>
                      <a:noFill/>
                      <a:ln>
                        <a:noFill/>
                      </a:ln>
                    </wps:spPr>
                    <wps:txbx>
                      <w:txbxContent>
                        <w:p w14:paraId="48200A78" w14:textId="77777777" w:rsidR="00EF5DCC" w:rsidRDefault="00EF5DCC" w:rsidP="008261B8">
                          <w:pPr>
                            <w:pStyle w:val="Cabealho"/>
                            <w:jc w:val="center"/>
                            <w:rPr>
                              <w:b/>
                              <w:bCs/>
                              <w:noProof/>
                              <w:sz w:val="24"/>
                              <w:szCs w:val="24"/>
                              <w14:textOutline w14:w="0" w14:cap="flat" w14:cmpd="sng" w14:algn="ctr">
                                <w14:noFill/>
                                <w14:prstDash w14:val="solid"/>
                                <w14:round/>
                              </w14:textOutline>
                            </w:rPr>
                          </w:pPr>
                        </w:p>
                        <w:p w14:paraId="68C23742" w14:textId="16C54D64" w:rsidR="008261B8" w:rsidRDefault="008261B8" w:rsidP="008261B8">
                          <w:pPr>
                            <w:pStyle w:val="Cabealho"/>
                            <w:jc w:val="center"/>
                            <w:rPr>
                              <w:b/>
                              <w:bCs/>
                              <w:noProof/>
                              <w:sz w:val="24"/>
                              <w:szCs w:val="24"/>
                              <w14:textOutline w14:w="0" w14:cap="flat" w14:cmpd="sng" w14:algn="ctr">
                                <w14:noFill/>
                                <w14:prstDash w14:val="solid"/>
                                <w14:round/>
                              </w14:textOutline>
                            </w:rPr>
                          </w:pPr>
                          <w:r w:rsidRPr="00C87D9F">
                            <w:rPr>
                              <w:b/>
                              <w:bCs/>
                              <w:noProof/>
                              <w:sz w:val="24"/>
                              <w:szCs w:val="24"/>
                              <w14:textOutline w14:w="0" w14:cap="flat" w14:cmpd="sng" w14:algn="ctr">
                                <w14:noFill/>
                                <w14:prstDash w14:val="solid"/>
                                <w14:round/>
                              </w14:textOutline>
                            </w:rPr>
                            <w:t xml:space="preserve">CÂMARA MUNICIPAL DE RIBAS DO RIO PARDO </w:t>
                          </w:r>
                          <w:r w:rsidR="00EF5DCC">
                            <w:rPr>
                              <w:b/>
                              <w:bCs/>
                              <w:noProof/>
                              <w:sz w:val="24"/>
                              <w:szCs w:val="24"/>
                              <w14:textOutline w14:w="0" w14:cap="flat" w14:cmpd="sng" w14:algn="ctr">
                                <w14:noFill/>
                                <w14:prstDash w14:val="solid"/>
                                <w14:round/>
                              </w14:textOutline>
                            </w:rPr>
                            <w:t>–</w:t>
                          </w:r>
                          <w:r w:rsidRPr="00C87D9F">
                            <w:rPr>
                              <w:b/>
                              <w:bCs/>
                              <w:noProof/>
                              <w:sz w:val="24"/>
                              <w:szCs w:val="24"/>
                              <w14:textOutline w14:w="0" w14:cap="flat" w14:cmpd="sng" w14:algn="ctr">
                                <w14:noFill/>
                                <w14:prstDash w14:val="solid"/>
                                <w14:round/>
                              </w14:textOutline>
                            </w:rPr>
                            <w:t xml:space="preserve"> MS</w:t>
                          </w:r>
                        </w:p>
                        <w:p w14:paraId="2D63E676" w14:textId="77777777" w:rsidR="00EF5DCC" w:rsidRDefault="00EF5DCC" w:rsidP="00EF5DCC">
                          <w:pPr>
                            <w:pStyle w:val="Cabealho"/>
                            <w:rPr>
                              <w:b/>
                              <w:bCs/>
                              <w:noProof/>
                              <w:sz w:val="24"/>
                              <w:szCs w:val="24"/>
                              <w14:textOutline w14:w="0" w14:cap="flat" w14:cmpd="sng" w14:algn="ctr">
                                <w14:noFill/>
                                <w14:prstDash w14:val="solid"/>
                                <w14:round/>
                              </w14:textOutline>
                            </w:rPr>
                          </w:pPr>
                        </w:p>
                        <w:p w14:paraId="45F78053" w14:textId="77777777" w:rsidR="00EF5DCC" w:rsidRPr="00C87D9F" w:rsidRDefault="00EF5DCC" w:rsidP="008261B8">
                          <w:pPr>
                            <w:pStyle w:val="Cabealho"/>
                            <w:jc w:val="center"/>
                            <w:rPr>
                              <w:b/>
                              <w:bCs/>
                              <w:noProof/>
                              <w:sz w:val="24"/>
                              <w:szCs w:val="24"/>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6C20DA3" id="_x0000_t202" coordsize="21600,21600" o:spt="202" path="m,l,21600r21600,l21600,xe">
              <v:stroke joinstyle="miter"/>
              <v:path gradientshapeok="t" o:connecttype="rect"/>
            </v:shapetype>
            <v:shape id="Caixa de Texto 1" o:spid="_x0000_s1026" type="#_x0000_t202" style="position:absolute;left:0;text-align:left;margin-left:0;margin-top:1.05pt;width:416.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" filled="f" stroked="f">
              <v:textbox style="mso-fit-shape-to-text:t">
                <w:txbxContent>
                  <w:p w14:paraId="48200A78" w14:textId="77777777" w:rsidR="00EF5DCC" w:rsidRDefault="00EF5DCC" w:rsidP="008261B8">
                    <w:pPr>
                      <w:pStyle w:val="Cabealho"/>
                      <w:jc w:val="center"/>
                      <w:rPr>
                        <w:b/>
                        <w:bCs/>
                        <w:noProof/>
                        <w:sz w:val="24"/>
                        <w:szCs w:val="24"/>
                        <w14:textOutline w14:w="0" w14:cap="flat" w14:cmpd="sng" w14:algn="ctr">
                          <w14:noFill/>
                          <w14:prstDash w14:val="solid"/>
                          <w14:round/>
                        </w14:textOutline>
                      </w:rPr>
                    </w:pPr>
                  </w:p>
                  <w:p w14:paraId="68C23742" w14:textId="16C54D64" w:rsidR="008261B8" w:rsidRDefault="008261B8" w:rsidP="008261B8">
                    <w:pPr>
                      <w:pStyle w:val="Cabealho"/>
                      <w:jc w:val="center"/>
                      <w:rPr>
                        <w:b/>
                        <w:bCs/>
                        <w:noProof/>
                        <w:sz w:val="24"/>
                        <w:szCs w:val="24"/>
                        <w14:textOutline w14:w="0" w14:cap="flat" w14:cmpd="sng" w14:algn="ctr">
                          <w14:noFill/>
                          <w14:prstDash w14:val="solid"/>
                          <w14:round/>
                        </w14:textOutline>
                      </w:rPr>
                    </w:pPr>
                    <w:r w:rsidRPr="00C87D9F">
                      <w:rPr>
                        <w:b/>
                        <w:bCs/>
                        <w:noProof/>
                        <w:sz w:val="24"/>
                        <w:szCs w:val="24"/>
                        <w14:textOutline w14:w="0" w14:cap="flat" w14:cmpd="sng" w14:algn="ctr">
                          <w14:noFill/>
                          <w14:prstDash w14:val="solid"/>
                          <w14:round/>
                        </w14:textOutline>
                      </w:rPr>
                      <w:t xml:space="preserve">CÂMARA MUNICIPAL DE RIBAS DO RIO PARDO </w:t>
                    </w:r>
                    <w:r w:rsidR="00EF5DCC">
                      <w:rPr>
                        <w:b/>
                        <w:bCs/>
                        <w:noProof/>
                        <w:sz w:val="24"/>
                        <w:szCs w:val="24"/>
                        <w14:textOutline w14:w="0" w14:cap="flat" w14:cmpd="sng" w14:algn="ctr">
                          <w14:noFill/>
                          <w14:prstDash w14:val="solid"/>
                          <w14:round/>
                        </w14:textOutline>
                      </w:rPr>
                      <w:t>–</w:t>
                    </w:r>
                    <w:r w:rsidRPr="00C87D9F">
                      <w:rPr>
                        <w:b/>
                        <w:bCs/>
                        <w:noProof/>
                        <w:sz w:val="24"/>
                        <w:szCs w:val="24"/>
                        <w14:textOutline w14:w="0" w14:cap="flat" w14:cmpd="sng" w14:algn="ctr">
                          <w14:noFill/>
                          <w14:prstDash w14:val="solid"/>
                          <w14:round/>
                        </w14:textOutline>
                      </w:rPr>
                      <w:t xml:space="preserve"> MS</w:t>
                    </w:r>
                  </w:p>
                  <w:p w14:paraId="2D63E676" w14:textId="77777777" w:rsidR="00EF5DCC" w:rsidRDefault="00EF5DCC" w:rsidP="00EF5DCC">
                    <w:pPr>
                      <w:pStyle w:val="Cabealho"/>
                      <w:rPr>
                        <w:b/>
                        <w:bCs/>
                        <w:noProof/>
                        <w:sz w:val="24"/>
                        <w:szCs w:val="24"/>
                        <w14:textOutline w14:w="0" w14:cap="flat" w14:cmpd="sng" w14:algn="ctr">
                          <w14:noFill/>
                          <w14:prstDash w14:val="solid"/>
                          <w14:round/>
                        </w14:textOutline>
                      </w:rPr>
                    </w:pPr>
                  </w:p>
                  <w:p w14:paraId="45F78053" w14:textId="77777777" w:rsidR="00EF5DCC" w:rsidRPr="00C87D9F" w:rsidRDefault="00EF5DCC" w:rsidP="008261B8">
                    <w:pPr>
                      <w:pStyle w:val="Cabealho"/>
                      <w:jc w:val="center"/>
                      <w:rPr>
                        <w:b/>
                        <w:bCs/>
                        <w:noProof/>
                        <w:sz w:val="24"/>
                        <w:szCs w:val="24"/>
                        <w14:textOutline w14:w="0" w14:cap="flat" w14:cmpd="sng" w14:algn="ctr">
                          <w14:noFill/>
                          <w14:prstDash w14:val="solid"/>
                          <w14:round/>
                        </w14:textOutline>
                      </w:rPr>
                    </w:pPr>
                  </w:p>
                </w:txbxContent>
              </v:textbox>
              <w10:wrap anchorx="margin"/>
            </v:shape>
          </w:pict>
        </mc:Fallback>
      </mc:AlternateContent>
    </w:r>
  </w:p>
  <w:p w14:paraId="1BE108C1" w14:textId="77777777" w:rsidR="008261B8" w:rsidRDefault="008261B8" w:rsidP="008261B8">
    <w:pPr>
      <w:pStyle w:val="Cabealho"/>
    </w:pPr>
  </w:p>
  <w:p w14:paraId="39637DA6" w14:textId="77777777" w:rsidR="00EF5DCC" w:rsidRDefault="00EF5DCC" w:rsidP="008261B8">
    <w:pPr>
      <w:pStyle w:val="Cabealho"/>
    </w:pPr>
  </w:p>
  <w:p w14:paraId="7AF4F7B3" w14:textId="77777777" w:rsidR="00EF5DCC" w:rsidRDefault="00EF5DCC" w:rsidP="00826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F42"/>
    <w:multiLevelType w:val="multilevel"/>
    <w:tmpl w:val="359AD1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CE00F8"/>
    <w:multiLevelType w:val="hybridMultilevel"/>
    <w:tmpl w:val="A96C4386"/>
    <w:lvl w:ilvl="0" w:tplc="F1CA58EE">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1602024E"/>
    <w:multiLevelType w:val="hybridMultilevel"/>
    <w:tmpl w:val="3C3AD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EC2F80"/>
    <w:multiLevelType w:val="multilevel"/>
    <w:tmpl w:val="EA66E7FA"/>
    <w:lvl w:ilvl="0">
      <w:start w:val="1"/>
      <w:numFmt w:val="decimal"/>
      <w:lvlText w:val="%1."/>
      <w:lvlJc w:val="left"/>
      <w:pPr>
        <w:ind w:left="360" w:hanging="360"/>
      </w:pPr>
      <w:rPr>
        <w:b/>
      </w:rPr>
    </w:lvl>
    <w:lvl w:ilvl="1">
      <w:start w:val="1"/>
      <w:numFmt w:val="decimal"/>
      <w:lvlText w:val="%1.%2."/>
      <w:lvlJc w:val="left"/>
      <w:pPr>
        <w:ind w:left="1142" w:hanging="432"/>
      </w:pPr>
      <w:rPr>
        <w:b w:val="0"/>
        <w:i w:val="0"/>
        <w:color w:val="000000"/>
      </w:rPr>
    </w:lvl>
    <w:lvl w:ilvl="2">
      <w:start w:val="1"/>
      <w:numFmt w:val="decimal"/>
      <w:lvlText w:val="%1.%2.%3."/>
      <w:lvlJc w:val="left"/>
      <w:pPr>
        <w:ind w:left="1224" w:hanging="504"/>
      </w:pPr>
      <w:rPr>
        <w:b w:val="0"/>
        <w:i w:val="0"/>
        <w:color w:val="000000"/>
        <w:sz w:val="22"/>
        <w:szCs w:val="22"/>
      </w:rPr>
    </w:lvl>
    <w:lvl w:ilvl="3">
      <w:start w:val="1"/>
      <w:numFmt w:val="lowerLetter"/>
      <w:lvlText w:val="%4)"/>
      <w:lvlJc w:val="left"/>
      <w:pPr>
        <w:ind w:left="1441"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90FD3"/>
    <w:multiLevelType w:val="hybridMultilevel"/>
    <w:tmpl w:val="6FE649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1C4821"/>
    <w:multiLevelType w:val="hybridMultilevel"/>
    <w:tmpl w:val="0D605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AE3544"/>
    <w:multiLevelType w:val="multilevel"/>
    <w:tmpl w:val="6A7A5380"/>
    <w:lvl w:ilvl="0">
      <w:start w:val="3"/>
      <w:numFmt w:val="decimal"/>
      <w:lvlText w:val="%1"/>
      <w:lvlJc w:val="left"/>
      <w:pPr>
        <w:ind w:left="360" w:hanging="360"/>
      </w:pPr>
      <w:rPr>
        <w:rFonts w:hint="default"/>
        <w:color w:val="auto"/>
        <w:sz w:val="24"/>
        <w:u w:val="none"/>
      </w:rPr>
    </w:lvl>
    <w:lvl w:ilvl="1">
      <w:start w:val="1"/>
      <w:numFmt w:val="decimal"/>
      <w:lvlText w:val="%1.%2"/>
      <w:lvlJc w:val="left"/>
      <w:pPr>
        <w:ind w:left="720" w:hanging="720"/>
      </w:pPr>
      <w:rPr>
        <w:rFonts w:hint="default"/>
        <w:color w:val="auto"/>
        <w:sz w:val="24"/>
        <w:u w:val="none"/>
      </w:rPr>
    </w:lvl>
    <w:lvl w:ilvl="2">
      <w:start w:val="1"/>
      <w:numFmt w:val="decimal"/>
      <w:lvlText w:val="%1.%2.%3"/>
      <w:lvlJc w:val="left"/>
      <w:pPr>
        <w:ind w:left="720" w:hanging="720"/>
      </w:pPr>
      <w:rPr>
        <w:rFonts w:hint="default"/>
        <w:color w:val="auto"/>
        <w:sz w:val="24"/>
        <w:u w:val="none"/>
      </w:rPr>
    </w:lvl>
    <w:lvl w:ilvl="3">
      <w:start w:val="1"/>
      <w:numFmt w:val="decimal"/>
      <w:lvlText w:val="%1.%2.%3.%4"/>
      <w:lvlJc w:val="left"/>
      <w:pPr>
        <w:ind w:left="1080" w:hanging="1080"/>
      </w:pPr>
      <w:rPr>
        <w:rFonts w:hint="default"/>
        <w:color w:val="auto"/>
        <w:sz w:val="24"/>
        <w:u w:val="none"/>
      </w:rPr>
    </w:lvl>
    <w:lvl w:ilvl="4">
      <w:start w:val="1"/>
      <w:numFmt w:val="decimal"/>
      <w:lvlText w:val="%1.%2.%3.%4.%5"/>
      <w:lvlJc w:val="left"/>
      <w:pPr>
        <w:ind w:left="1080" w:hanging="1080"/>
      </w:pPr>
      <w:rPr>
        <w:rFonts w:hint="default"/>
        <w:color w:val="auto"/>
        <w:sz w:val="24"/>
        <w:u w:val="none"/>
      </w:rPr>
    </w:lvl>
    <w:lvl w:ilvl="5">
      <w:start w:val="1"/>
      <w:numFmt w:val="decimal"/>
      <w:lvlText w:val="%1.%2.%3.%4.%5.%6"/>
      <w:lvlJc w:val="left"/>
      <w:pPr>
        <w:ind w:left="1440" w:hanging="1440"/>
      </w:pPr>
      <w:rPr>
        <w:rFonts w:hint="default"/>
        <w:color w:val="auto"/>
        <w:sz w:val="24"/>
        <w:u w:val="none"/>
      </w:rPr>
    </w:lvl>
    <w:lvl w:ilvl="6">
      <w:start w:val="1"/>
      <w:numFmt w:val="decimal"/>
      <w:lvlText w:val="%1.%2.%3.%4.%5.%6.%7"/>
      <w:lvlJc w:val="left"/>
      <w:pPr>
        <w:ind w:left="1800" w:hanging="1800"/>
      </w:pPr>
      <w:rPr>
        <w:rFonts w:hint="default"/>
        <w:color w:val="auto"/>
        <w:sz w:val="24"/>
        <w:u w:val="none"/>
      </w:rPr>
    </w:lvl>
    <w:lvl w:ilvl="7">
      <w:start w:val="1"/>
      <w:numFmt w:val="decimal"/>
      <w:lvlText w:val="%1.%2.%3.%4.%5.%6.%7.%8"/>
      <w:lvlJc w:val="left"/>
      <w:pPr>
        <w:ind w:left="1800" w:hanging="1800"/>
      </w:pPr>
      <w:rPr>
        <w:rFonts w:hint="default"/>
        <w:color w:val="auto"/>
        <w:sz w:val="24"/>
        <w:u w:val="none"/>
      </w:rPr>
    </w:lvl>
    <w:lvl w:ilvl="8">
      <w:start w:val="1"/>
      <w:numFmt w:val="decimal"/>
      <w:lvlText w:val="%1.%2.%3.%4.%5.%6.%7.%8.%9"/>
      <w:lvlJc w:val="left"/>
      <w:pPr>
        <w:ind w:left="2160" w:hanging="2160"/>
      </w:pPr>
      <w:rPr>
        <w:rFonts w:hint="default"/>
        <w:color w:val="auto"/>
        <w:sz w:val="24"/>
        <w:u w:val="none"/>
      </w:rPr>
    </w:lvl>
  </w:abstractNum>
  <w:num w:numId="1" w16cid:durableId="1504465793">
    <w:abstractNumId w:val="3"/>
  </w:num>
  <w:num w:numId="2" w16cid:durableId="611211898">
    <w:abstractNumId w:val="0"/>
  </w:num>
  <w:num w:numId="3" w16cid:durableId="29496744">
    <w:abstractNumId w:val="2"/>
  </w:num>
  <w:num w:numId="4" w16cid:durableId="887648306">
    <w:abstractNumId w:val="5"/>
  </w:num>
  <w:num w:numId="5" w16cid:durableId="1423838390">
    <w:abstractNumId w:val="6"/>
  </w:num>
  <w:num w:numId="6" w16cid:durableId="429203421">
    <w:abstractNumId w:val="4"/>
  </w:num>
  <w:num w:numId="7" w16cid:durableId="946153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60"/>
    <w:rsid w:val="0003022B"/>
    <w:rsid w:val="00031B9C"/>
    <w:rsid w:val="00036845"/>
    <w:rsid w:val="00051B60"/>
    <w:rsid w:val="000551B7"/>
    <w:rsid w:val="000614E9"/>
    <w:rsid w:val="00063529"/>
    <w:rsid w:val="000638F2"/>
    <w:rsid w:val="00071723"/>
    <w:rsid w:val="000878FF"/>
    <w:rsid w:val="000A2E86"/>
    <w:rsid w:val="000A51E9"/>
    <w:rsid w:val="000B0FF8"/>
    <w:rsid w:val="000D3D51"/>
    <w:rsid w:val="000D4585"/>
    <w:rsid w:val="000E54BB"/>
    <w:rsid w:val="000F7BE7"/>
    <w:rsid w:val="00111B70"/>
    <w:rsid w:val="00115737"/>
    <w:rsid w:val="00137298"/>
    <w:rsid w:val="00143886"/>
    <w:rsid w:val="00146A50"/>
    <w:rsid w:val="00153651"/>
    <w:rsid w:val="00184053"/>
    <w:rsid w:val="00187283"/>
    <w:rsid w:val="001B16A5"/>
    <w:rsid w:val="001D0A5A"/>
    <w:rsid w:val="001D17E2"/>
    <w:rsid w:val="001E6A10"/>
    <w:rsid w:val="001F67F4"/>
    <w:rsid w:val="00200103"/>
    <w:rsid w:val="0020079D"/>
    <w:rsid w:val="00205774"/>
    <w:rsid w:val="00216A38"/>
    <w:rsid w:val="002249FE"/>
    <w:rsid w:val="00224AA5"/>
    <w:rsid w:val="00240FA2"/>
    <w:rsid w:val="002460A6"/>
    <w:rsid w:val="00262749"/>
    <w:rsid w:val="00272CF5"/>
    <w:rsid w:val="00280CF8"/>
    <w:rsid w:val="00281C06"/>
    <w:rsid w:val="00283BE8"/>
    <w:rsid w:val="002A07F9"/>
    <w:rsid w:val="002B7091"/>
    <w:rsid w:val="002D41F2"/>
    <w:rsid w:val="002E4DE2"/>
    <w:rsid w:val="002E5CB1"/>
    <w:rsid w:val="002F6CBB"/>
    <w:rsid w:val="002F7143"/>
    <w:rsid w:val="0030201E"/>
    <w:rsid w:val="00346D16"/>
    <w:rsid w:val="00347740"/>
    <w:rsid w:val="00347DBE"/>
    <w:rsid w:val="00356A8B"/>
    <w:rsid w:val="00361ACA"/>
    <w:rsid w:val="0036771F"/>
    <w:rsid w:val="00372BF3"/>
    <w:rsid w:val="003C0AE3"/>
    <w:rsid w:val="003C0AEB"/>
    <w:rsid w:val="003C38F4"/>
    <w:rsid w:val="003C3B82"/>
    <w:rsid w:val="003C5E74"/>
    <w:rsid w:val="003F2172"/>
    <w:rsid w:val="00401367"/>
    <w:rsid w:val="004046AB"/>
    <w:rsid w:val="0043320A"/>
    <w:rsid w:val="0044322B"/>
    <w:rsid w:val="00461DD3"/>
    <w:rsid w:val="004709F9"/>
    <w:rsid w:val="00475CE0"/>
    <w:rsid w:val="00495805"/>
    <w:rsid w:val="004A780B"/>
    <w:rsid w:val="004B2545"/>
    <w:rsid w:val="004C0716"/>
    <w:rsid w:val="004F007B"/>
    <w:rsid w:val="004F7709"/>
    <w:rsid w:val="00502B9D"/>
    <w:rsid w:val="005209CE"/>
    <w:rsid w:val="00524D95"/>
    <w:rsid w:val="00531A68"/>
    <w:rsid w:val="00540803"/>
    <w:rsid w:val="00555013"/>
    <w:rsid w:val="00560711"/>
    <w:rsid w:val="00566627"/>
    <w:rsid w:val="00567D7E"/>
    <w:rsid w:val="0057125D"/>
    <w:rsid w:val="00576818"/>
    <w:rsid w:val="00596102"/>
    <w:rsid w:val="005A2245"/>
    <w:rsid w:val="005A6AB8"/>
    <w:rsid w:val="005B32A0"/>
    <w:rsid w:val="005B3912"/>
    <w:rsid w:val="005E0A64"/>
    <w:rsid w:val="005E25E7"/>
    <w:rsid w:val="005F3C81"/>
    <w:rsid w:val="00627FA4"/>
    <w:rsid w:val="00634868"/>
    <w:rsid w:val="0064034F"/>
    <w:rsid w:val="00642895"/>
    <w:rsid w:val="0064328D"/>
    <w:rsid w:val="006739ED"/>
    <w:rsid w:val="006769F4"/>
    <w:rsid w:val="00692CE9"/>
    <w:rsid w:val="006A39B1"/>
    <w:rsid w:val="006A7DE6"/>
    <w:rsid w:val="006B1986"/>
    <w:rsid w:val="006B3913"/>
    <w:rsid w:val="006B6F43"/>
    <w:rsid w:val="006D607D"/>
    <w:rsid w:val="006E33EF"/>
    <w:rsid w:val="006E6676"/>
    <w:rsid w:val="007164E6"/>
    <w:rsid w:val="00721750"/>
    <w:rsid w:val="00747187"/>
    <w:rsid w:val="00752F41"/>
    <w:rsid w:val="00757E6C"/>
    <w:rsid w:val="00785382"/>
    <w:rsid w:val="0078562D"/>
    <w:rsid w:val="007972B0"/>
    <w:rsid w:val="007A3913"/>
    <w:rsid w:val="007A6B07"/>
    <w:rsid w:val="007A71F0"/>
    <w:rsid w:val="007D0FFE"/>
    <w:rsid w:val="007D2A87"/>
    <w:rsid w:val="007D6A64"/>
    <w:rsid w:val="007D7936"/>
    <w:rsid w:val="007E4B2F"/>
    <w:rsid w:val="00805995"/>
    <w:rsid w:val="00812472"/>
    <w:rsid w:val="008261B8"/>
    <w:rsid w:val="00851CFF"/>
    <w:rsid w:val="008547D4"/>
    <w:rsid w:val="00867B67"/>
    <w:rsid w:val="008766B3"/>
    <w:rsid w:val="008A3DD5"/>
    <w:rsid w:val="008A6875"/>
    <w:rsid w:val="008B52E2"/>
    <w:rsid w:val="008B7FDF"/>
    <w:rsid w:val="008C2633"/>
    <w:rsid w:val="008C59B7"/>
    <w:rsid w:val="008D2CC6"/>
    <w:rsid w:val="008D527A"/>
    <w:rsid w:val="008E0AE5"/>
    <w:rsid w:val="008E57DE"/>
    <w:rsid w:val="00912779"/>
    <w:rsid w:val="00921078"/>
    <w:rsid w:val="009236A5"/>
    <w:rsid w:val="009372CA"/>
    <w:rsid w:val="0094135B"/>
    <w:rsid w:val="0095507B"/>
    <w:rsid w:val="00960FA7"/>
    <w:rsid w:val="0096175B"/>
    <w:rsid w:val="00991713"/>
    <w:rsid w:val="00993470"/>
    <w:rsid w:val="009B078D"/>
    <w:rsid w:val="009B417E"/>
    <w:rsid w:val="009C12EB"/>
    <w:rsid w:val="009C300A"/>
    <w:rsid w:val="009D218B"/>
    <w:rsid w:val="009D4EAD"/>
    <w:rsid w:val="009E02C1"/>
    <w:rsid w:val="009E097E"/>
    <w:rsid w:val="009E265F"/>
    <w:rsid w:val="00A02FCA"/>
    <w:rsid w:val="00A06364"/>
    <w:rsid w:val="00A12D8B"/>
    <w:rsid w:val="00A203C5"/>
    <w:rsid w:val="00A20503"/>
    <w:rsid w:val="00A21D6E"/>
    <w:rsid w:val="00A272BE"/>
    <w:rsid w:val="00A370CC"/>
    <w:rsid w:val="00A43F05"/>
    <w:rsid w:val="00A4710E"/>
    <w:rsid w:val="00A64F6D"/>
    <w:rsid w:val="00A65D1D"/>
    <w:rsid w:val="00A66A35"/>
    <w:rsid w:val="00A66F3C"/>
    <w:rsid w:val="00A71FF6"/>
    <w:rsid w:val="00A963DC"/>
    <w:rsid w:val="00AA17AD"/>
    <w:rsid w:val="00AB4EFD"/>
    <w:rsid w:val="00AC019C"/>
    <w:rsid w:val="00AE3E3E"/>
    <w:rsid w:val="00AF2C1E"/>
    <w:rsid w:val="00B15803"/>
    <w:rsid w:val="00B16436"/>
    <w:rsid w:val="00B3553B"/>
    <w:rsid w:val="00B45EF4"/>
    <w:rsid w:val="00B65F24"/>
    <w:rsid w:val="00B72808"/>
    <w:rsid w:val="00B73BDD"/>
    <w:rsid w:val="00B8622F"/>
    <w:rsid w:val="00B96ED8"/>
    <w:rsid w:val="00BA3191"/>
    <w:rsid w:val="00BA5416"/>
    <w:rsid w:val="00BB2228"/>
    <w:rsid w:val="00BC5B5B"/>
    <w:rsid w:val="00BE4A1F"/>
    <w:rsid w:val="00BF32CF"/>
    <w:rsid w:val="00BF466D"/>
    <w:rsid w:val="00C307E8"/>
    <w:rsid w:val="00C70EE8"/>
    <w:rsid w:val="00C728A0"/>
    <w:rsid w:val="00C84A6F"/>
    <w:rsid w:val="00C91F35"/>
    <w:rsid w:val="00C93241"/>
    <w:rsid w:val="00CA0A32"/>
    <w:rsid w:val="00CB7197"/>
    <w:rsid w:val="00CB7D72"/>
    <w:rsid w:val="00CC1E5C"/>
    <w:rsid w:val="00CC3B6C"/>
    <w:rsid w:val="00CC5893"/>
    <w:rsid w:val="00CD1FF8"/>
    <w:rsid w:val="00CD6A81"/>
    <w:rsid w:val="00CE5D2C"/>
    <w:rsid w:val="00CF1820"/>
    <w:rsid w:val="00CF596E"/>
    <w:rsid w:val="00D049BA"/>
    <w:rsid w:val="00D125B3"/>
    <w:rsid w:val="00D3526C"/>
    <w:rsid w:val="00D65247"/>
    <w:rsid w:val="00D81F43"/>
    <w:rsid w:val="00D97B15"/>
    <w:rsid w:val="00DA1D1C"/>
    <w:rsid w:val="00DC4078"/>
    <w:rsid w:val="00DF2314"/>
    <w:rsid w:val="00DF2C6F"/>
    <w:rsid w:val="00DF4D11"/>
    <w:rsid w:val="00E077F4"/>
    <w:rsid w:val="00E2364A"/>
    <w:rsid w:val="00E257CF"/>
    <w:rsid w:val="00E312AC"/>
    <w:rsid w:val="00E316B6"/>
    <w:rsid w:val="00E34CDD"/>
    <w:rsid w:val="00E37E2E"/>
    <w:rsid w:val="00E4300B"/>
    <w:rsid w:val="00E51832"/>
    <w:rsid w:val="00E52761"/>
    <w:rsid w:val="00E551D6"/>
    <w:rsid w:val="00E86EB0"/>
    <w:rsid w:val="00E936BF"/>
    <w:rsid w:val="00E96123"/>
    <w:rsid w:val="00EA6487"/>
    <w:rsid w:val="00EC05EC"/>
    <w:rsid w:val="00EC4485"/>
    <w:rsid w:val="00EC48D4"/>
    <w:rsid w:val="00EC51D9"/>
    <w:rsid w:val="00ED0101"/>
    <w:rsid w:val="00ED61B8"/>
    <w:rsid w:val="00EE1148"/>
    <w:rsid w:val="00EF5DCC"/>
    <w:rsid w:val="00EF7321"/>
    <w:rsid w:val="00F06330"/>
    <w:rsid w:val="00F2258F"/>
    <w:rsid w:val="00F27C05"/>
    <w:rsid w:val="00F54C61"/>
    <w:rsid w:val="00F6291F"/>
    <w:rsid w:val="00F64441"/>
    <w:rsid w:val="00F823F7"/>
    <w:rsid w:val="00F9156A"/>
    <w:rsid w:val="00FA3129"/>
    <w:rsid w:val="00FA73E3"/>
    <w:rsid w:val="00FB2030"/>
    <w:rsid w:val="00FB6A4B"/>
    <w:rsid w:val="00FC5112"/>
    <w:rsid w:val="00FF1A04"/>
    <w:rsid w:val="03864034"/>
    <w:rsid w:val="1B79C804"/>
    <w:rsid w:val="66FD1BF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17A29"/>
  <w15:chartTrackingRefBased/>
  <w15:docId w15:val="{2D7908F7-0781-474B-9B2D-C133AEC1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1B60"/>
    <w:pPr>
      <w:spacing w:after="0" w:line="276" w:lineRule="auto"/>
    </w:pPr>
    <w:rPr>
      <w:rFonts w:ascii="Arial" w:eastAsia="Arial" w:hAnsi="Arial" w:cs="Arial"/>
      <w:kern w:val="0"/>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51B60"/>
    <w:pPr>
      <w:ind w:left="720"/>
      <w:contextualSpacing/>
    </w:pPr>
  </w:style>
  <w:style w:type="paragraph" w:styleId="Cabealho">
    <w:name w:val="header"/>
    <w:aliases w:val="Cabeçalho1"/>
    <w:basedOn w:val="Normal"/>
    <w:link w:val="CabealhoChar"/>
    <w:uiPriority w:val="99"/>
    <w:unhideWhenUsed/>
    <w:rsid w:val="00051B60"/>
    <w:pPr>
      <w:tabs>
        <w:tab w:val="center" w:pos="4252"/>
        <w:tab w:val="right" w:pos="8504"/>
      </w:tabs>
      <w:spacing w:line="240" w:lineRule="auto"/>
    </w:pPr>
  </w:style>
  <w:style w:type="character" w:customStyle="1" w:styleId="CabealhoChar">
    <w:name w:val="Cabeçalho Char"/>
    <w:aliases w:val="Cabeçalho1 Char"/>
    <w:basedOn w:val="Fontepargpadro"/>
    <w:link w:val="Cabealho"/>
    <w:uiPriority w:val="99"/>
    <w:rsid w:val="00051B60"/>
    <w:rPr>
      <w:rFonts w:ascii="Arial" w:eastAsia="Arial" w:hAnsi="Arial" w:cs="Arial"/>
      <w:kern w:val="0"/>
      <w:lang w:eastAsia="pt-BR"/>
      <w14:ligatures w14:val="none"/>
    </w:rPr>
  </w:style>
  <w:style w:type="paragraph" w:styleId="Rodap">
    <w:name w:val="footer"/>
    <w:basedOn w:val="Normal"/>
    <w:link w:val="RodapChar"/>
    <w:unhideWhenUsed/>
    <w:rsid w:val="00051B60"/>
    <w:pPr>
      <w:tabs>
        <w:tab w:val="center" w:pos="4252"/>
        <w:tab w:val="right" w:pos="8504"/>
      </w:tabs>
      <w:spacing w:line="240" w:lineRule="auto"/>
    </w:pPr>
  </w:style>
  <w:style w:type="character" w:customStyle="1" w:styleId="RodapChar">
    <w:name w:val="Rodapé Char"/>
    <w:basedOn w:val="Fontepargpadro"/>
    <w:link w:val="Rodap"/>
    <w:rsid w:val="00051B60"/>
    <w:rPr>
      <w:rFonts w:ascii="Arial" w:eastAsia="Arial" w:hAnsi="Arial" w:cs="Arial"/>
      <w:kern w:val="0"/>
      <w:lang w:eastAsia="pt-BR"/>
      <w14:ligatures w14:val="none"/>
    </w:rPr>
  </w:style>
  <w:style w:type="character" w:styleId="Hyperlink">
    <w:name w:val="Hyperlink"/>
    <w:basedOn w:val="Fontepargpadro"/>
    <w:uiPriority w:val="99"/>
    <w:unhideWhenUsed/>
    <w:rsid w:val="00A66A35"/>
    <w:rPr>
      <w:color w:val="0563C1" w:themeColor="hyperlink"/>
      <w:u w:val="single"/>
    </w:rPr>
  </w:style>
  <w:style w:type="character" w:styleId="MenoPendente">
    <w:name w:val="Unresolved Mention"/>
    <w:basedOn w:val="Fontepargpadro"/>
    <w:uiPriority w:val="99"/>
    <w:semiHidden/>
    <w:unhideWhenUsed/>
    <w:rsid w:val="00A66A35"/>
    <w:rPr>
      <w:color w:val="605E5C"/>
      <w:shd w:val="clear" w:color="auto" w:fill="E1DFDD"/>
    </w:rPr>
  </w:style>
  <w:style w:type="paragraph" w:styleId="Textodenotaderodap">
    <w:name w:val="footnote text"/>
    <w:basedOn w:val="Normal"/>
    <w:link w:val="TextodenotaderodapChar"/>
    <w:uiPriority w:val="99"/>
    <w:semiHidden/>
    <w:unhideWhenUsed/>
    <w:rsid w:val="00CB719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B7197"/>
    <w:rPr>
      <w:rFonts w:ascii="Arial" w:eastAsia="Arial" w:hAnsi="Arial" w:cs="Arial"/>
      <w:kern w:val="0"/>
      <w:sz w:val="20"/>
      <w:szCs w:val="20"/>
      <w:lang w:eastAsia="pt-BR"/>
      <w14:ligatures w14:val="none"/>
    </w:rPr>
  </w:style>
  <w:style w:type="character" w:styleId="Refdenotaderodap">
    <w:name w:val="footnote reference"/>
    <w:basedOn w:val="Fontepargpadro"/>
    <w:uiPriority w:val="99"/>
    <w:semiHidden/>
    <w:unhideWhenUsed/>
    <w:rsid w:val="00CB7197"/>
    <w:rPr>
      <w:vertAlign w:val="superscript"/>
    </w:rPr>
  </w:style>
  <w:style w:type="table" w:styleId="Tabelacomgrade">
    <w:name w:val="Table Grid"/>
    <w:basedOn w:val="Tabelanormal"/>
    <w:uiPriority w:val="39"/>
    <w:rsid w:val="00030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261B8"/>
    <w:pPr>
      <w:spacing w:after="0" w:line="240" w:lineRule="auto"/>
    </w:pPr>
    <w:rPr>
      <w:kern w:val="0"/>
      <w14:ligatures w14:val="none"/>
    </w:rPr>
  </w:style>
  <w:style w:type="paragraph" w:styleId="Textodebalo">
    <w:name w:val="Balloon Text"/>
    <w:basedOn w:val="Normal"/>
    <w:link w:val="TextodebaloChar"/>
    <w:uiPriority w:val="99"/>
    <w:semiHidden/>
    <w:unhideWhenUsed/>
    <w:rsid w:val="0015365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3651"/>
    <w:rPr>
      <w:rFonts w:ascii="Segoe UI" w:eastAsia="Arial" w:hAnsi="Segoe UI"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536">
      <w:bodyDiv w:val="1"/>
      <w:marLeft w:val="0"/>
      <w:marRight w:val="0"/>
      <w:marTop w:val="0"/>
      <w:marBottom w:val="0"/>
      <w:divBdr>
        <w:top w:val="none" w:sz="0" w:space="0" w:color="auto"/>
        <w:left w:val="none" w:sz="0" w:space="0" w:color="auto"/>
        <w:bottom w:val="none" w:sz="0" w:space="0" w:color="auto"/>
        <w:right w:val="none" w:sz="0" w:space="0" w:color="auto"/>
      </w:divBdr>
    </w:div>
    <w:div w:id="870335492">
      <w:bodyDiv w:val="1"/>
      <w:marLeft w:val="0"/>
      <w:marRight w:val="0"/>
      <w:marTop w:val="0"/>
      <w:marBottom w:val="0"/>
      <w:divBdr>
        <w:top w:val="none" w:sz="0" w:space="0" w:color="auto"/>
        <w:left w:val="none" w:sz="0" w:space="0" w:color="auto"/>
        <w:bottom w:val="none" w:sz="0" w:space="0" w:color="auto"/>
        <w:right w:val="none" w:sz="0" w:space="0" w:color="auto"/>
      </w:divBdr>
    </w:div>
    <w:div w:id="1173912339">
      <w:bodyDiv w:val="1"/>
      <w:marLeft w:val="0"/>
      <w:marRight w:val="0"/>
      <w:marTop w:val="0"/>
      <w:marBottom w:val="0"/>
      <w:divBdr>
        <w:top w:val="none" w:sz="0" w:space="0" w:color="auto"/>
        <w:left w:val="none" w:sz="0" w:space="0" w:color="auto"/>
        <w:bottom w:val="none" w:sz="0" w:space="0" w:color="auto"/>
        <w:right w:val="none" w:sz="0" w:space="0" w:color="auto"/>
      </w:divBdr>
    </w:div>
    <w:div w:id="1309553961">
      <w:bodyDiv w:val="1"/>
      <w:marLeft w:val="0"/>
      <w:marRight w:val="0"/>
      <w:marTop w:val="0"/>
      <w:marBottom w:val="0"/>
      <w:divBdr>
        <w:top w:val="none" w:sz="0" w:space="0" w:color="auto"/>
        <w:left w:val="none" w:sz="0" w:space="0" w:color="auto"/>
        <w:bottom w:val="none" w:sz="0" w:space="0" w:color="auto"/>
        <w:right w:val="none" w:sz="0" w:space="0" w:color="auto"/>
      </w:divBdr>
    </w:div>
    <w:div w:id="1701008294">
      <w:bodyDiv w:val="1"/>
      <w:marLeft w:val="0"/>
      <w:marRight w:val="0"/>
      <w:marTop w:val="0"/>
      <w:marBottom w:val="0"/>
      <w:divBdr>
        <w:top w:val="none" w:sz="0" w:space="0" w:color="auto"/>
        <w:left w:val="none" w:sz="0" w:space="0" w:color="auto"/>
        <w:bottom w:val="none" w:sz="0" w:space="0" w:color="auto"/>
        <w:right w:val="none" w:sz="0" w:space="0" w:color="auto"/>
      </w:divBdr>
    </w:div>
    <w:div w:id="18663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hyperlink" Target="https://www.gov.br/compras/pt-br/acesso-a-informacao/legislacao/instrucoes-normativas/instrucao-normativa-seges-me-no-116-de-21-de-dezembro-de-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trabalho-e-previdencia/pt-br/servicos/empregador/programa-de-alimentacao-do-trabalhador-pat/arquivos-legislacao/instrucoes-normativas/pat_in_971_200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decreto/d1088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gov.br/economia/pt-br/assuntos/drei/legislacao/arquivos/legislacoes-federais/indrei772020.pdf" TargetMode="Externa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E7D2-0536-4665-AC4B-7BA0BA0D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5598</Words>
  <Characters>30231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35758</CharactersWithSpaces>
  <SharedDoc>false</SharedDoc>
  <HLinks>
    <vt:vector size="42" baseType="variant">
      <vt:variant>
        <vt:i4>2949219</vt:i4>
      </vt:variant>
      <vt:variant>
        <vt:i4>18</vt:i4>
      </vt:variant>
      <vt:variant>
        <vt:i4>0</vt:i4>
      </vt:variant>
      <vt:variant>
        <vt:i4>5</vt:i4>
      </vt:variant>
      <vt:variant>
        <vt:lpwstr>http://www.planalto.gov.br/ccivil_03/_ato2019-2022/2021/lei/L14133.htm</vt:lpwstr>
      </vt:variant>
      <vt:variant>
        <vt:lpwstr>art69</vt:lpwstr>
      </vt:variant>
      <vt:variant>
        <vt:i4>3801194</vt:i4>
      </vt:variant>
      <vt:variant>
        <vt:i4>15</vt:i4>
      </vt:variant>
      <vt:variant>
        <vt:i4>0</vt:i4>
      </vt:variant>
      <vt:variant>
        <vt:i4>5</vt:i4>
      </vt:variant>
      <vt:variant>
        <vt:lpwstr>https://www.gov.br/compras/pt-br/acesso-a-informacao/legislacao/instrucoes-normativas/instrucao-normativa-seges-me-no-116-de-21-de-dezembro-de-2021</vt:lpwstr>
      </vt:variant>
      <vt:variant>
        <vt:lpwstr>art5</vt:lpwstr>
      </vt:variant>
      <vt:variant>
        <vt:i4>1638513</vt:i4>
      </vt:variant>
      <vt:variant>
        <vt:i4>12</vt:i4>
      </vt:variant>
      <vt:variant>
        <vt:i4>0</vt:i4>
      </vt:variant>
      <vt:variant>
        <vt:i4>5</vt:i4>
      </vt:variant>
      <vt:variant>
        <vt:lpwstr>https://www.gov.br/trabalho-e-previdencia/pt-br/servicos/empregador/programa-de-alimentacao-do-trabalhador-pat/arquivos-legislacao/instrucoes-normativas/pat_in_971_2009.pdf</vt:lpwstr>
      </vt:variant>
      <vt:variant>
        <vt:lpwstr/>
      </vt:variant>
      <vt:variant>
        <vt:i4>1376465</vt:i4>
      </vt:variant>
      <vt:variant>
        <vt:i4>9</vt:i4>
      </vt:variant>
      <vt:variant>
        <vt:i4>0</vt:i4>
      </vt:variant>
      <vt:variant>
        <vt:i4>5</vt:i4>
      </vt:variant>
      <vt:variant>
        <vt:lpwstr>https://www.planalto.gov.br/ccivil_03/_ato2019-2022/2021/decreto/d10880.htm</vt:lpwstr>
      </vt:variant>
      <vt:variant>
        <vt:lpwstr>art4§2</vt:lpwstr>
      </vt:variant>
      <vt:variant>
        <vt:i4>8060928</vt:i4>
      </vt:variant>
      <vt:variant>
        <vt:i4>6</vt:i4>
      </vt:variant>
      <vt:variant>
        <vt:i4>0</vt:i4>
      </vt:variant>
      <vt:variant>
        <vt:i4>5</vt:i4>
      </vt:variant>
      <vt:variant>
        <vt:lpwstr>https://www.planalto.gov.br/ccivil_03/leis/l5764.htm</vt:lpwstr>
      </vt:variant>
      <vt:variant>
        <vt:lpwstr>art107</vt:lpwstr>
      </vt:variant>
      <vt:variant>
        <vt:i4>5701697</vt:i4>
      </vt:variant>
      <vt:variant>
        <vt:i4>3</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0</vt:i4>
      </vt:variant>
      <vt:variant>
        <vt:i4>0</vt:i4>
      </vt:variant>
      <vt:variant>
        <vt:i4>5</vt:i4>
      </vt:variant>
      <vt:variant>
        <vt:lpwstr>https://www.gov.br/empresas-e-negocios/pt-br/empreendedor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deividy alberto toaldo</dc:creator>
  <cp:keywords/>
  <dc:description/>
  <cp:lastModifiedBy>deividy alberto toaldo</cp:lastModifiedBy>
  <cp:revision>26</cp:revision>
  <cp:lastPrinted>2023-05-23T14:28:00Z</cp:lastPrinted>
  <dcterms:created xsi:type="dcterms:W3CDTF">2023-05-23T14:40:00Z</dcterms:created>
  <dcterms:modified xsi:type="dcterms:W3CDTF">2023-06-16T14:58:00Z</dcterms:modified>
</cp:coreProperties>
</file>